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9356" w:type="dxa"/>
        <w:tblInd w:w="108" w:type="dxa"/>
        <w:tblLayout w:type="fixed"/>
        <w:tblLook w:val="04A0" w:firstRow="1" w:lastRow="0" w:firstColumn="1" w:lastColumn="0" w:noHBand="0" w:noVBand="1"/>
      </w:tblPr>
      <w:tblGrid>
        <w:gridCol w:w="284"/>
        <w:gridCol w:w="2009"/>
        <w:gridCol w:w="145"/>
        <w:gridCol w:w="6406"/>
        <w:gridCol w:w="512"/>
      </w:tblGrid>
      <w:tr w:rsidR="00CE544A" w:rsidRPr="00975B07" w:rsidTr="005929A5">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929A5">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33A8C" w:rsidP="005D0621">
            <w:pPr>
              <w:rPr>
                <w:b/>
              </w:rPr>
            </w:pPr>
            <w:r>
              <w:rPr>
                <w:b/>
              </w:rPr>
              <w:t>15</w:t>
            </w:r>
            <w:r w:rsidR="00093B1C">
              <w:rPr>
                <w:b/>
                <w:vertAlign w:val="superscript"/>
              </w:rPr>
              <w:t xml:space="preserve"> </w:t>
            </w:r>
            <w:r>
              <w:rPr>
                <w:b/>
              </w:rPr>
              <w:t>September 2016</w:t>
            </w:r>
          </w:p>
        </w:tc>
      </w:tr>
      <w:tr w:rsidR="00CE544A" w:rsidRPr="00975B07" w:rsidTr="005929A5">
        <w:trPr>
          <w:gridAfter w:val="1"/>
          <w:wAfter w:w="512" w:type="dxa"/>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D44EDC" w:rsidRPr="00D44EDC" w:rsidRDefault="00094B54" w:rsidP="004A6D2F">
            <w:pPr>
              <w:rPr>
                <w:rStyle w:val="Firstpagetablebold"/>
                <w:b w:val="0"/>
              </w:rPr>
            </w:pPr>
            <w:r w:rsidRPr="00D44EDC">
              <w:rPr>
                <w:rFonts w:ascii="Helvetica" w:hAnsi="Helvetica" w:cs="Helvetica"/>
                <w:b/>
                <w:lang w:val="en"/>
              </w:rPr>
              <w:t>Head of Housing &amp; Property</w:t>
            </w:r>
          </w:p>
        </w:tc>
      </w:tr>
      <w:tr w:rsidR="00CE544A" w:rsidRPr="00975B07" w:rsidTr="005929A5">
        <w:trPr>
          <w:gridAfter w:val="1"/>
          <w:wAfter w:w="512" w:type="dxa"/>
          <w:trHeight w:val="655"/>
        </w:trPr>
        <w:tc>
          <w:tcPr>
            <w:tcW w:w="2438" w:type="dxa"/>
            <w:gridSpan w:val="3"/>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D44EDC" w:rsidRPr="00D44EDC" w:rsidRDefault="00D44EDC" w:rsidP="00D44EDC">
            <w:pPr>
              <w:tabs>
                <w:tab w:val="left" w:pos="0"/>
              </w:tabs>
              <w:spacing w:after="0"/>
              <w:ind w:left="6" w:hanging="6"/>
              <w:jc w:val="both"/>
              <w:rPr>
                <w:rFonts w:cs="Arial"/>
                <w:b/>
                <w:bCs/>
                <w:color w:val="auto"/>
                <w:lang w:eastAsia="en-US"/>
              </w:rPr>
            </w:pPr>
            <w:r w:rsidRPr="00D44EDC">
              <w:rPr>
                <w:rFonts w:cs="Arial"/>
                <w:b/>
                <w:bCs/>
                <w:color w:val="auto"/>
                <w:lang w:eastAsia="en-US"/>
              </w:rPr>
              <w:t>Compulsory Purchase Order</w:t>
            </w:r>
            <w:r w:rsidR="002F40ED">
              <w:rPr>
                <w:rFonts w:cs="Arial"/>
                <w:b/>
                <w:bCs/>
                <w:color w:val="auto"/>
                <w:lang w:eastAsia="en-US"/>
              </w:rPr>
              <w:t>-</w:t>
            </w:r>
            <w:r>
              <w:rPr>
                <w:rFonts w:cs="Arial"/>
                <w:b/>
                <w:bCs/>
                <w:color w:val="auto"/>
                <w:lang w:eastAsia="en-US"/>
              </w:rPr>
              <w:t xml:space="preserve">Spencer </w:t>
            </w:r>
            <w:r w:rsidR="009B7899">
              <w:rPr>
                <w:rFonts w:cs="Arial"/>
                <w:b/>
                <w:bCs/>
                <w:color w:val="auto"/>
                <w:lang w:eastAsia="en-US"/>
              </w:rPr>
              <w:t>Crescent</w:t>
            </w:r>
            <w:r>
              <w:rPr>
                <w:rFonts w:cs="Arial"/>
                <w:b/>
                <w:bCs/>
                <w:color w:val="auto"/>
                <w:lang w:eastAsia="en-US"/>
              </w:rPr>
              <w:t>, Rose Hill</w:t>
            </w:r>
            <w:r w:rsidRPr="00D44EDC">
              <w:rPr>
                <w:rFonts w:cs="Arial"/>
                <w:b/>
                <w:bCs/>
                <w:color w:val="auto"/>
                <w:lang w:eastAsia="en-US"/>
              </w:rPr>
              <w:tab/>
            </w:r>
            <w:r w:rsidRPr="00D44EDC">
              <w:rPr>
                <w:rFonts w:cs="Arial"/>
                <w:b/>
                <w:bCs/>
                <w:color w:val="auto"/>
                <w:lang w:eastAsia="en-US"/>
              </w:rPr>
              <w:tab/>
            </w:r>
          </w:p>
          <w:p w:rsidR="00F445B1" w:rsidRPr="001356F1" w:rsidRDefault="00F445B1" w:rsidP="004A6D2F">
            <w:pPr>
              <w:rPr>
                <w:rStyle w:val="Firstpagetablebold"/>
              </w:rPr>
            </w:pPr>
          </w:p>
        </w:tc>
      </w:tr>
      <w:tr w:rsidR="00D5547E"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9356" w:type="dxa"/>
            <w:gridSpan w:val="5"/>
            <w:tcBorders>
              <w:bottom w:val="single" w:sz="8" w:space="0" w:color="000000"/>
            </w:tcBorders>
            <w:hideMark/>
          </w:tcPr>
          <w:p w:rsidR="00D5547E" w:rsidRDefault="00745BF0" w:rsidP="00694FC7">
            <w:pPr>
              <w:ind w:right="317"/>
              <w:jc w:val="center"/>
              <w:rPr>
                <w:rStyle w:val="Firstpagetablebold"/>
              </w:rPr>
            </w:pPr>
            <w:r>
              <w:rPr>
                <w:rStyle w:val="Firstpagetablebold"/>
              </w:rPr>
              <w:t>Summary and r</w:t>
            </w:r>
            <w:r w:rsidR="00D5547E">
              <w:rPr>
                <w:rStyle w:val="Firstpagetablebold"/>
              </w:rPr>
              <w:t>ecommendations</w:t>
            </w:r>
          </w:p>
        </w:tc>
      </w:tr>
      <w:tr w:rsidR="00D5547E"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8"/>
        </w:trPr>
        <w:tc>
          <w:tcPr>
            <w:tcW w:w="229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7063" w:type="dxa"/>
            <w:gridSpan w:val="3"/>
            <w:tcBorders>
              <w:top w:val="single" w:sz="8" w:space="0" w:color="000000"/>
              <w:left w:val="nil"/>
              <w:bottom w:val="nil"/>
              <w:right w:val="single" w:sz="8" w:space="0" w:color="000000"/>
            </w:tcBorders>
            <w:hideMark/>
          </w:tcPr>
          <w:p w:rsidR="00D5547E" w:rsidRPr="001356F1" w:rsidRDefault="00D44EDC" w:rsidP="000F4751">
            <w:r>
              <w:rPr>
                <w:rFonts w:cs="Arial"/>
              </w:rPr>
              <w:t>To obtain</w:t>
            </w:r>
            <w:r w:rsidRPr="00DB4A63">
              <w:rPr>
                <w:rFonts w:cs="Arial"/>
              </w:rPr>
              <w:t xml:space="preserve"> approval to initiate compulsory </w:t>
            </w:r>
            <w:r>
              <w:rPr>
                <w:rFonts w:cs="Arial"/>
              </w:rPr>
              <w:t xml:space="preserve">purchase </w:t>
            </w:r>
            <w:r w:rsidRPr="00DB4A63">
              <w:rPr>
                <w:rFonts w:cs="Arial"/>
              </w:rPr>
              <w:t xml:space="preserve">proceedings in relation to </w:t>
            </w:r>
            <w:r>
              <w:rPr>
                <w:rFonts w:cs="Arial"/>
              </w:rPr>
              <w:t>a</w:t>
            </w:r>
            <w:r w:rsidRPr="00DB4A63">
              <w:rPr>
                <w:rFonts w:cs="Arial"/>
              </w:rPr>
              <w:t xml:space="preserve"> long term </w:t>
            </w:r>
            <w:r>
              <w:rPr>
                <w:rFonts w:cs="Arial"/>
              </w:rPr>
              <w:t>empty property</w:t>
            </w:r>
            <w:r w:rsidRPr="00DB4A63">
              <w:rPr>
                <w:rFonts w:cs="Arial"/>
              </w:rPr>
              <w:t>.</w:t>
            </w:r>
          </w:p>
        </w:tc>
      </w:tr>
      <w:tr w:rsidR="00D5547E"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1"/>
        </w:trPr>
        <w:tc>
          <w:tcPr>
            <w:tcW w:w="229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7063" w:type="dxa"/>
            <w:gridSpan w:val="3"/>
            <w:tcBorders>
              <w:top w:val="nil"/>
              <w:left w:val="nil"/>
              <w:bottom w:val="nil"/>
              <w:right w:val="single" w:sz="8" w:space="0" w:color="000000"/>
            </w:tcBorders>
            <w:hideMark/>
          </w:tcPr>
          <w:p w:rsidR="00D5547E" w:rsidRPr="001356F1" w:rsidRDefault="00D44EDC" w:rsidP="005F7F7E">
            <w:r>
              <w:t>No</w:t>
            </w:r>
          </w:p>
        </w:tc>
      </w:tr>
      <w:tr w:rsidR="00D5547E" w:rsidTr="009F28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2"/>
        </w:trPr>
        <w:tc>
          <w:tcPr>
            <w:tcW w:w="2293" w:type="dxa"/>
            <w:gridSpan w:val="2"/>
            <w:tcBorders>
              <w:top w:val="nil"/>
              <w:left w:val="single" w:sz="8" w:space="0" w:color="000000"/>
              <w:bottom w:val="nil"/>
              <w:right w:val="nil"/>
            </w:tcBorders>
            <w:hideMark/>
          </w:tcPr>
          <w:p w:rsidR="00D5547E" w:rsidRDefault="00D5547E" w:rsidP="000736E0">
            <w:pPr>
              <w:spacing w:after="0"/>
              <w:rPr>
                <w:rStyle w:val="Firstpagetablebold"/>
              </w:rPr>
            </w:pPr>
            <w:r>
              <w:rPr>
                <w:rStyle w:val="Firstpagetablebold"/>
              </w:rPr>
              <w:t>Executive Board Member</w:t>
            </w:r>
            <w:r w:rsidR="005929A5">
              <w:rPr>
                <w:rStyle w:val="Firstpagetablebold"/>
              </w:rPr>
              <w:t>:</w:t>
            </w:r>
          </w:p>
        </w:tc>
        <w:tc>
          <w:tcPr>
            <w:tcW w:w="7063" w:type="dxa"/>
            <w:gridSpan w:val="3"/>
            <w:tcBorders>
              <w:top w:val="nil"/>
              <w:left w:val="nil"/>
              <w:bottom w:val="nil"/>
              <w:right w:val="single" w:sz="8" w:space="0" w:color="000000"/>
            </w:tcBorders>
            <w:hideMark/>
          </w:tcPr>
          <w:p w:rsidR="00D5547E" w:rsidRPr="000736E0" w:rsidRDefault="006421D9" w:rsidP="005929A5">
            <w:r>
              <w:t xml:space="preserve">Cllr </w:t>
            </w:r>
            <w:r w:rsidR="00181C80">
              <w:t>Mike Rowley, Housing</w:t>
            </w:r>
          </w:p>
        </w:tc>
      </w:tr>
      <w:tr w:rsidR="0080749A" w:rsidTr="009F28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0"/>
        </w:trPr>
        <w:tc>
          <w:tcPr>
            <w:tcW w:w="2293" w:type="dxa"/>
            <w:gridSpan w:val="2"/>
            <w:tcBorders>
              <w:top w:val="nil"/>
              <w:left w:val="single" w:sz="8" w:space="0" w:color="000000"/>
              <w:bottom w:val="nil"/>
              <w:right w:val="nil"/>
            </w:tcBorders>
          </w:tcPr>
          <w:p w:rsidR="0080749A" w:rsidRDefault="005929A5" w:rsidP="000736E0">
            <w:pPr>
              <w:spacing w:after="0"/>
              <w:rPr>
                <w:rStyle w:val="Firstpagetablebold"/>
              </w:rPr>
            </w:pPr>
            <w:r>
              <w:rPr>
                <w:rStyle w:val="Firstpagetablebold"/>
              </w:rPr>
              <w:t>C</w:t>
            </w:r>
            <w:r w:rsidR="0080749A">
              <w:rPr>
                <w:rStyle w:val="Firstpagetablebold"/>
              </w:rPr>
              <w:t>orporate Priority:</w:t>
            </w:r>
          </w:p>
        </w:tc>
        <w:tc>
          <w:tcPr>
            <w:tcW w:w="7063" w:type="dxa"/>
            <w:gridSpan w:val="3"/>
            <w:tcBorders>
              <w:top w:val="nil"/>
              <w:left w:val="nil"/>
              <w:bottom w:val="nil"/>
              <w:right w:val="single" w:sz="8" w:space="0" w:color="000000"/>
            </w:tcBorders>
          </w:tcPr>
          <w:p w:rsidR="0080749A" w:rsidRPr="00D03D08" w:rsidRDefault="00D03D08" w:rsidP="000736E0">
            <w:pPr>
              <w:spacing w:after="0"/>
            </w:pPr>
            <w:r w:rsidRPr="00D03D08">
              <w:rPr>
                <w:bCs/>
              </w:rPr>
              <w:t>Meeting Housing Needs</w:t>
            </w:r>
          </w:p>
        </w:tc>
      </w:tr>
      <w:tr w:rsidR="00D5547E"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88"/>
        </w:trPr>
        <w:tc>
          <w:tcPr>
            <w:tcW w:w="2293" w:type="dxa"/>
            <w:gridSpan w:val="2"/>
            <w:tcBorders>
              <w:top w:val="nil"/>
              <w:left w:val="single" w:sz="8" w:space="0" w:color="000000"/>
              <w:bottom w:val="nil"/>
              <w:right w:val="nil"/>
            </w:tcBorders>
            <w:hideMark/>
          </w:tcPr>
          <w:p w:rsidR="00D5547E" w:rsidRDefault="005929A5">
            <w:pPr>
              <w:rPr>
                <w:rStyle w:val="Firstpagetablebold"/>
              </w:rPr>
            </w:pPr>
            <w:r>
              <w:rPr>
                <w:rStyle w:val="Firstpagetablebold"/>
              </w:rPr>
              <w:t>P</w:t>
            </w:r>
            <w:r w:rsidR="00D5547E">
              <w:rPr>
                <w:rStyle w:val="Firstpagetablebold"/>
              </w:rPr>
              <w:t>olicy Framework:</w:t>
            </w:r>
          </w:p>
        </w:tc>
        <w:tc>
          <w:tcPr>
            <w:tcW w:w="7063" w:type="dxa"/>
            <w:gridSpan w:val="3"/>
            <w:tcBorders>
              <w:top w:val="nil"/>
              <w:left w:val="nil"/>
              <w:bottom w:val="nil"/>
              <w:right w:val="single" w:sz="8" w:space="0" w:color="000000"/>
            </w:tcBorders>
            <w:hideMark/>
          </w:tcPr>
          <w:p w:rsidR="00D5547E" w:rsidRPr="001356F1" w:rsidRDefault="004235C7" w:rsidP="005F7F7E">
            <w:r>
              <w:t>Housing Strategy</w:t>
            </w:r>
            <w:r w:rsidR="001460A0">
              <w:t xml:space="preserve"> 2015-18</w:t>
            </w:r>
            <w:r w:rsidR="00573857">
              <w:t>.</w:t>
            </w:r>
          </w:p>
        </w:tc>
      </w:tr>
      <w:tr w:rsidR="005F7F7E" w:rsidRPr="00975B07"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9356" w:type="dxa"/>
            <w:gridSpan w:val="5"/>
            <w:tcBorders>
              <w:bottom w:val="single" w:sz="8" w:space="0" w:color="000000"/>
            </w:tcBorders>
          </w:tcPr>
          <w:p w:rsidR="005F7F7E" w:rsidRPr="00975B07" w:rsidRDefault="00093B1C" w:rsidP="004A6D2F">
            <w:r>
              <w:rPr>
                <w:rStyle w:val="Firstpagetablebold"/>
              </w:rPr>
              <w:t>Recommendations</w:t>
            </w:r>
            <w:r w:rsidR="005F7F7E">
              <w:rPr>
                <w:rStyle w:val="Firstpagetablebold"/>
              </w:rPr>
              <w:t>:</w:t>
            </w:r>
            <w:r>
              <w:rPr>
                <w:rStyle w:val="Firstpagetablebold"/>
              </w:rPr>
              <w:t xml:space="preserve"> </w:t>
            </w:r>
            <w:r w:rsidR="005F7F7E" w:rsidRPr="00093B1C">
              <w:rPr>
                <w:rStyle w:val="Firstpagetablebold"/>
                <w:b w:val="0"/>
              </w:rPr>
              <w:t>That the City Executive Board resolves to:</w:t>
            </w:r>
          </w:p>
        </w:tc>
      </w:tr>
      <w:tr w:rsidR="00D03D08" w:rsidRPr="00975B07"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1"/>
        </w:trPr>
        <w:tc>
          <w:tcPr>
            <w:tcW w:w="284" w:type="dxa"/>
            <w:tcBorders>
              <w:top w:val="single" w:sz="8" w:space="0" w:color="000000"/>
              <w:left w:val="single" w:sz="8" w:space="0" w:color="000000"/>
              <w:bottom w:val="nil"/>
              <w:right w:val="nil"/>
            </w:tcBorders>
            <w:shd w:val="clear" w:color="auto" w:fill="auto"/>
          </w:tcPr>
          <w:p w:rsidR="006421D9" w:rsidRPr="00975B07" w:rsidRDefault="006421D9" w:rsidP="000736E0">
            <w:pPr>
              <w:spacing w:after="0"/>
            </w:pPr>
          </w:p>
        </w:tc>
        <w:tc>
          <w:tcPr>
            <w:tcW w:w="9072" w:type="dxa"/>
            <w:gridSpan w:val="4"/>
            <w:tcBorders>
              <w:top w:val="single" w:sz="8" w:space="0" w:color="000000"/>
              <w:left w:val="nil"/>
              <w:bottom w:val="nil"/>
              <w:right w:val="single" w:sz="8" w:space="0" w:color="000000"/>
            </w:tcBorders>
            <w:shd w:val="clear" w:color="auto" w:fill="auto"/>
          </w:tcPr>
          <w:p w:rsidR="00AA5AB7" w:rsidRPr="00D4723C" w:rsidRDefault="000736E0" w:rsidP="003259C4">
            <w:pPr>
              <w:tabs>
                <w:tab w:val="left" w:pos="317"/>
              </w:tabs>
              <w:ind w:left="317" w:right="459" w:hanging="283"/>
              <w:jc w:val="both"/>
              <w:rPr>
                <w:rFonts w:cs="Arial"/>
                <w:bCs/>
              </w:rPr>
            </w:pPr>
            <w:r w:rsidRPr="00AA5AB7">
              <w:rPr>
                <w:rFonts w:cs="Arial"/>
                <w:bCs/>
              </w:rPr>
              <w:t>1.</w:t>
            </w:r>
            <w:r w:rsidRPr="00AA5AB7">
              <w:rPr>
                <w:rFonts w:cs="Arial"/>
                <w:bCs/>
              </w:rPr>
              <w:tab/>
            </w:r>
            <w:r w:rsidR="003259C4" w:rsidRPr="003259C4">
              <w:rPr>
                <w:rFonts w:cs="Arial"/>
                <w:b/>
                <w:bCs/>
              </w:rPr>
              <w:t>Delegate</w:t>
            </w:r>
            <w:r w:rsidR="003259C4">
              <w:rPr>
                <w:rFonts w:cs="Arial"/>
                <w:bCs/>
              </w:rPr>
              <w:t xml:space="preserve"> </w:t>
            </w:r>
            <w:r w:rsidR="003259C4" w:rsidRPr="003259C4">
              <w:rPr>
                <w:rFonts w:cs="Arial"/>
                <w:b/>
                <w:bCs/>
              </w:rPr>
              <w:t>authority</w:t>
            </w:r>
            <w:r w:rsidR="003259C4" w:rsidRPr="003259C4">
              <w:rPr>
                <w:rFonts w:cs="Arial"/>
                <w:bCs/>
              </w:rPr>
              <w:t xml:space="preserve"> to</w:t>
            </w:r>
            <w:r w:rsidR="003259C4">
              <w:rPr>
                <w:rFonts w:cs="Arial"/>
                <w:b/>
                <w:bCs/>
              </w:rPr>
              <w:t xml:space="preserve"> </w:t>
            </w:r>
            <w:r w:rsidRPr="00AA5AB7">
              <w:rPr>
                <w:rFonts w:cs="Arial"/>
                <w:bCs/>
              </w:rPr>
              <w:t xml:space="preserve"> the Head of Housing and Property, in consultation with the Head of Law and Governance</w:t>
            </w:r>
            <w:r>
              <w:rPr>
                <w:rFonts w:cs="Arial"/>
                <w:bCs/>
              </w:rPr>
              <w:t xml:space="preserve"> and</w:t>
            </w:r>
            <w:r w:rsidRPr="00AA5AB7">
              <w:rPr>
                <w:rFonts w:cs="Arial"/>
                <w:bCs/>
              </w:rPr>
              <w:t xml:space="preserve"> the Head of Financ</w:t>
            </w:r>
            <w:r>
              <w:rPr>
                <w:rFonts w:cs="Arial"/>
                <w:bCs/>
              </w:rPr>
              <w:t>ial Services,</w:t>
            </w:r>
            <w:r w:rsidRPr="00AA5AB7">
              <w:rPr>
                <w:rFonts w:cs="Arial"/>
                <w:bCs/>
              </w:rPr>
              <w:t xml:space="preserve"> to initiate compulsory purchase proceedings to acquire all intere</w:t>
            </w:r>
            <w:r>
              <w:rPr>
                <w:rFonts w:cs="Arial"/>
                <w:bCs/>
              </w:rPr>
              <w:t xml:space="preserve">sts in the property situated in </w:t>
            </w:r>
            <w:r w:rsidRPr="00AA5AB7">
              <w:rPr>
                <w:rFonts w:cs="Arial"/>
                <w:bCs/>
              </w:rPr>
              <w:t xml:space="preserve">Spencer </w:t>
            </w:r>
            <w:r>
              <w:rPr>
                <w:rFonts w:cs="Arial"/>
                <w:bCs/>
              </w:rPr>
              <w:t>Crescent, Oxford (full address provided in Appendix A)</w:t>
            </w:r>
          </w:p>
        </w:tc>
      </w:tr>
      <w:tr w:rsidR="00D03D08" w:rsidRPr="00975B07" w:rsidTr="005929A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7"/>
        </w:trPr>
        <w:tc>
          <w:tcPr>
            <w:tcW w:w="284" w:type="dxa"/>
            <w:tcBorders>
              <w:top w:val="nil"/>
              <w:left w:val="single" w:sz="8" w:space="0" w:color="000000"/>
              <w:bottom w:val="single" w:sz="4" w:space="0" w:color="auto"/>
              <w:right w:val="nil"/>
            </w:tcBorders>
          </w:tcPr>
          <w:p w:rsidR="00D03D08" w:rsidRPr="00975B07" w:rsidRDefault="00D03D08" w:rsidP="004A6D2F"/>
        </w:tc>
        <w:tc>
          <w:tcPr>
            <w:tcW w:w="9072" w:type="dxa"/>
            <w:gridSpan w:val="4"/>
            <w:tcBorders>
              <w:top w:val="nil"/>
              <w:left w:val="nil"/>
              <w:bottom w:val="single" w:sz="4" w:space="0" w:color="auto"/>
              <w:right w:val="single" w:sz="8" w:space="0" w:color="000000"/>
            </w:tcBorders>
            <w:shd w:val="clear" w:color="auto" w:fill="auto"/>
          </w:tcPr>
          <w:p w:rsidR="00AA5AB7" w:rsidRPr="00AA5AB7" w:rsidRDefault="00AA5AB7" w:rsidP="000736E0">
            <w:pPr>
              <w:ind w:left="317" w:right="459" w:hanging="283"/>
              <w:jc w:val="both"/>
              <w:rPr>
                <w:rFonts w:cs="Arial"/>
                <w:bCs/>
              </w:rPr>
            </w:pPr>
            <w:r w:rsidRPr="00AA5AB7">
              <w:rPr>
                <w:rFonts w:cs="Arial"/>
                <w:bCs/>
              </w:rPr>
              <w:t>2.</w:t>
            </w:r>
            <w:r w:rsidR="003259C4">
              <w:rPr>
                <w:rFonts w:cs="Arial"/>
                <w:bCs/>
              </w:rPr>
              <w:t xml:space="preserve"> </w:t>
            </w:r>
            <w:r w:rsidR="003259C4" w:rsidRPr="003259C4">
              <w:rPr>
                <w:rFonts w:cs="Arial"/>
                <w:b/>
                <w:bCs/>
              </w:rPr>
              <w:t>Delegate</w:t>
            </w:r>
            <w:r w:rsidR="003259C4">
              <w:rPr>
                <w:rFonts w:cs="Arial"/>
                <w:b/>
                <w:bCs/>
              </w:rPr>
              <w:t xml:space="preserve"> </w:t>
            </w:r>
            <w:r w:rsidR="003259C4" w:rsidRPr="003259C4">
              <w:rPr>
                <w:rFonts w:cs="Arial"/>
                <w:b/>
                <w:bCs/>
              </w:rPr>
              <w:t>authority</w:t>
            </w:r>
            <w:r w:rsidR="003259C4" w:rsidRPr="003259C4">
              <w:rPr>
                <w:rFonts w:cs="Arial"/>
                <w:bCs/>
              </w:rPr>
              <w:t xml:space="preserve"> to</w:t>
            </w:r>
            <w:r w:rsidR="003259C4" w:rsidRPr="00AA5AB7">
              <w:rPr>
                <w:rFonts w:cs="Arial"/>
                <w:bCs/>
              </w:rPr>
              <w:t xml:space="preserve"> </w:t>
            </w:r>
            <w:r w:rsidRPr="00AA5AB7">
              <w:rPr>
                <w:rFonts w:cs="Arial"/>
                <w:bCs/>
              </w:rPr>
              <w:t xml:space="preserve">the Head of Law and Governance </w:t>
            </w:r>
            <w:r w:rsidR="009B7899">
              <w:rPr>
                <w:rFonts w:cs="Arial"/>
                <w:bCs/>
              </w:rPr>
              <w:t xml:space="preserve">to </w:t>
            </w:r>
            <w:r w:rsidRPr="00AA5AB7">
              <w:rPr>
                <w:rFonts w:cs="Arial"/>
                <w:bCs/>
              </w:rPr>
              <w:t>take all necessary steps to</w:t>
            </w:r>
            <w:r>
              <w:rPr>
                <w:rFonts w:cs="Arial"/>
                <w:bCs/>
              </w:rPr>
              <w:t xml:space="preserve"> </w:t>
            </w:r>
            <w:r w:rsidRPr="00AA5AB7">
              <w:rPr>
                <w:rFonts w:cs="Arial"/>
                <w:bCs/>
              </w:rPr>
              <w:t>secure the making, confirmation and implementation of the Compulsory</w:t>
            </w:r>
            <w:r>
              <w:rPr>
                <w:rFonts w:cs="Arial"/>
                <w:bCs/>
              </w:rPr>
              <w:t xml:space="preserve"> </w:t>
            </w:r>
            <w:r w:rsidRPr="00AA5AB7">
              <w:rPr>
                <w:rFonts w:cs="Arial"/>
                <w:bCs/>
              </w:rPr>
              <w:t>Purchase Order</w:t>
            </w:r>
            <w:r w:rsidR="00712474" w:rsidRPr="000141F7">
              <w:rPr>
                <w:rFonts w:cs="Arial"/>
                <w:color w:val="auto"/>
                <w:lang w:val="en"/>
              </w:rPr>
              <w:t>,</w:t>
            </w:r>
            <w:r w:rsidRPr="00712474">
              <w:rPr>
                <w:rFonts w:cs="Arial"/>
                <w:color w:val="494949"/>
                <w:sz w:val="21"/>
                <w:szCs w:val="21"/>
                <w:lang w:val="en"/>
              </w:rPr>
              <w:t xml:space="preserve"> </w:t>
            </w:r>
            <w:r w:rsidRPr="00712474">
              <w:rPr>
                <w:rFonts w:cs="Arial"/>
                <w:bCs/>
              </w:rPr>
              <w:t>in</w:t>
            </w:r>
            <w:r w:rsidRPr="00AA5AB7">
              <w:rPr>
                <w:rFonts w:cs="Arial"/>
                <w:bCs/>
              </w:rPr>
              <w:t xml:space="preserve">cluding the publication and service of all </w:t>
            </w:r>
            <w:r w:rsidR="009B7899">
              <w:rPr>
                <w:rFonts w:cs="Arial"/>
                <w:bCs/>
              </w:rPr>
              <w:t>Notice</w:t>
            </w:r>
            <w:r w:rsidRPr="00AA5AB7">
              <w:rPr>
                <w:rFonts w:cs="Arial"/>
                <w:bCs/>
              </w:rPr>
              <w:t xml:space="preserve">s and the presentation of the </w:t>
            </w:r>
            <w:r w:rsidR="009B7899">
              <w:rPr>
                <w:rFonts w:cs="Arial"/>
                <w:bCs/>
              </w:rPr>
              <w:t>Council’s</w:t>
            </w:r>
            <w:r w:rsidRPr="00AA5AB7">
              <w:rPr>
                <w:rFonts w:cs="Arial"/>
                <w:bCs/>
              </w:rPr>
              <w:t xml:space="preserve"> case at any public inquiry;</w:t>
            </w:r>
          </w:p>
          <w:p w:rsidR="00AA5AB7" w:rsidRPr="00AA5AB7" w:rsidRDefault="00AA5AB7" w:rsidP="00694FC7">
            <w:pPr>
              <w:ind w:left="317" w:right="459" w:hanging="317"/>
              <w:jc w:val="both"/>
              <w:rPr>
                <w:rFonts w:cs="Arial"/>
                <w:bCs/>
              </w:rPr>
            </w:pPr>
            <w:r w:rsidRPr="00AA5AB7">
              <w:rPr>
                <w:rFonts w:cs="Arial"/>
                <w:bCs/>
              </w:rPr>
              <w:t xml:space="preserve">3. </w:t>
            </w:r>
            <w:r w:rsidR="003259C4" w:rsidRPr="003259C4">
              <w:rPr>
                <w:rFonts w:cs="Arial"/>
                <w:b/>
                <w:bCs/>
              </w:rPr>
              <w:t>Delegate</w:t>
            </w:r>
            <w:r w:rsidR="003259C4">
              <w:rPr>
                <w:rFonts w:cs="Arial"/>
                <w:bCs/>
              </w:rPr>
              <w:t xml:space="preserve"> </w:t>
            </w:r>
            <w:r w:rsidR="003259C4" w:rsidRPr="003259C4">
              <w:rPr>
                <w:rFonts w:cs="Arial"/>
                <w:b/>
                <w:bCs/>
              </w:rPr>
              <w:t>authority</w:t>
            </w:r>
            <w:r w:rsidR="003259C4" w:rsidRPr="003259C4">
              <w:rPr>
                <w:rFonts w:cs="Arial"/>
                <w:bCs/>
              </w:rPr>
              <w:t xml:space="preserve"> to</w:t>
            </w:r>
            <w:r w:rsidRPr="00AA5AB7">
              <w:rPr>
                <w:rFonts w:cs="Arial"/>
                <w:bCs/>
              </w:rPr>
              <w:t xml:space="preserve"> the </w:t>
            </w:r>
            <w:r w:rsidR="0012108C">
              <w:rPr>
                <w:rFonts w:ascii="Helvetica" w:hAnsi="Helvetica" w:cs="Helvetica"/>
                <w:lang w:val="en"/>
              </w:rPr>
              <w:t xml:space="preserve">Regeneration &amp; Major Projects Service Manager </w:t>
            </w:r>
            <w:r w:rsidRPr="00AA5AB7">
              <w:rPr>
                <w:rFonts w:cs="Arial"/>
                <w:bCs/>
              </w:rPr>
              <w:t>to take all neces</w:t>
            </w:r>
            <w:bookmarkStart w:id="0" w:name="_GoBack"/>
            <w:bookmarkEnd w:id="0"/>
            <w:r w:rsidRPr="00AA5AB7">
              <w:rPr>
                <w:rFonts w:cs="Arial"/>
                <w:bCs/>
              </w:rPr>
              <w:t>sary action to acquire and obtain possession of the property either compulsorily or by agreement and to negotiate and agree all matters relating to compensation payments;</w:t>
            </w:r>
          </w:p>
          <w:p w:rsidR="00BE1553" w:rsidRPr="00093B1C" w:rsidRDefault="00AA5AB7" w:rsidP="00093B1C">
            <w:pPr>
              <w:ind w:left="317" w:right="459" w:hanging="317"/>
              <w:jc w:val="both"/>
              <w:rPr>
                <w:rFonts w:cs="Arial"/>
                <w:bCs/>
              </w:rPr>
            </w:pPr>
            <w:r>
              <w:rPr>
                <w:rFonts w:cs="Arial"/>
                <w:bCs/>
              </w:rPr>
              <w:t xml:space="preserve">4. </w:t>
            </w:r>
            <w:r w:rsidR="003259C4" w:rsidRPr="003259C4">
              <w:rPr>
                <w:rFonts w:cs="Arial"/>
                <w:b/>
                <w:bCs/>
              </w:rPr>
              <w:t>Delegate</w:t>
            </w:r>
            <w:r w:rsidR="003259C4">
              <w:rPr>
                <w:rFonts w:cs="Arial"/>
                <w:bCs/>
              </w:rPr>
              <w:t xml:space="preserve"> </w:t>
            </w:r>
            <w:r w:rsidR="003259C4" w:rsidRPr="003259C4">
              <w:rPr>
                <w:rFonts w:cs="Arial"/>
                <w:b/>
                <w:bCs/>
              </w:rPr>
              <w:t>authority</w:t>
            </w:r>
            <w:r w:rsidR="003259C4" w:rsidRPr="003259C4">
              <w:rPr>
                <w:rFonts w:cs="Arial"/>
                <w:bCs/>
              </w:rPr>
              <w:t xml:space="preserve"> to</w:t>
            </w:r>
            <w:r w:rsidRPr="00AA5AB7">
              <w:rPr>
                <w:rFonts w:cs="Arial"/>
                <w:bCs/>
              </w:rPr>
              <w:t xml:space="preserve"> the </w:t>
            </w:r>
            <w:r w:rsidR="0012108C" w:rsidRPr="0012108C">
              <w:rPr>
                <w:rFonts w:cs="Arial"/>
                <w:bCs/>
              </w:rPr>
              <w:t>Regeneration &amp; Major Projects Service Manager</w:t>
            </w:r>
            <w:r w:rsidR="0012108C">
              <w:rPr>
                <w:rFonts w:cs="Arial"/>
                <w:bCs/>
              </w:rPr>
              <w:t xml:space="preserve"> </w:t>
            </w:r>
            <w:r w:rsidRPr="00AA5AB7">
              <w:rPr>
                <w:rFonts w:cs="Arial"/>
                <w:bCs/>
              </w:rPr>
              <w:t>to dispose of the property in accordance with the Disposal Options set out in this repo</w:t>
            </w:r>
            <w:r w:rsidR="0012108C">
              <w:rPr>
                <w:rFonts w:cs="Arial"/>
                <w:bCs/>
              </w:rPr>
              <w:t>rt</w:t>
            </w:r>
            <w:r w:rsidR="003A2D08">
              <w:rPr>
                <w:rFonts w:cs="Arial"/>
                <w:bCs/>
              </w:rPr>
              <w:t>.</w:t>
            </w:r>
          </w:p>
        </w:tc>
      </w:tr>
      <w:tr w:rsidR="00966D42" w:rsidRPr="00975B07" w:rsidTr="0059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5"/>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12108C" w:rsidRPr="00975B07" w:rsidTr="00592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 w:type="dxa"/>
            <w:tcBorders>
              <w:top w:val="single" w:sz="8" w:space="0" w:color="000000"/>
              <w:left w:val="single" w:sz="8" w:space="0" w:color="000000"/>
              <w:bottom w:val="single" w:sz="8" w:space="0" w:color="000000"/>
              <w:right w:val="nil"/>
            </w:tcBorders>
            <w:shd w:val="clear" w:color="auto" w:fill="auto"/>
          </w:tcPr>
          <w:p w:rsidR="0012108C" w:rsidRPr="0031252E" w:rsidRDefault="0012108C" w:rsidP="0012108C">
            <w:pPr>
              <w:rPr>
                <w:lang w:val="en-US"/>
              </w:rPr>
            </w:pPr>
          </w:p>
        </w:tc>
        <w:tc>
          <w:tcPr>
            <w:tcW w:w="9072" w:type="dxa"/>
            <w:gridSpan w:val="4"/>
            <w:tcBorders>
              <w:top w:val="single" w:sz="8" w:space="0" w:color="000000"/>
              <w:left w:val="nil"/>
              <w:bottom w:val="single" w:sz="8" w:space="0" w:color="000000"/>
              <w:right w:val="single" w:sz="8" w:space="0" w:color="000000"/>
            </w:tcBorders>
          </w:tcPr>
          <w:p w:rsidR="0012108C" w:rsidRPr="00093B1C" w:rsidRDefault="0012108C" w:rsidP="00BD1835">
            <w:pPr>
              <w:numPr>
                <w:ilvl w:val="0"/>
                <w:numId w:val="34"/>
              </w:numPr>
              <w:rPr>
                <w:b/>
                <w:bCs/>
                <w:color w:val="auto"/>
              </w:rPr>
            </w:pPr>
            <w:r w:rsidRPr="00093B1C">
              <w:rPr>
                <w:szCs w:val="22"/>
                <w:lang w:val="en-US"/>
              </w:rPr>
              <w:t>Site Plan</w:t>
            </w:r>
            <w:r w:rsidR="00712474" w:rsidRPr="00093B1C">
              <w:rPr>
                <w:szCs w:val="22"/>
                <w:lang w:val="en-US"/>
              </w:rPr>
              <w:t xml:space="preserve"> </w:t>
            </w:r>
            <w:r w:rsidRPr="00093B1C">
              <w:rPr>
                <w:szCs w:val="22"/>
                <w:lang w:val="en-US"/>
              </w:rPr>
              <w:t xml:space="preserve"> </w:t>
            </w:r>
            <w:r w:rsidRPr="00093B1C">
              <w:rPr>
                <w:bCs/>
                <w:color w:val="auto"/>
              </w:rPr>
              <w:t xml:space="preserve">Exempt from Publication by virtue of Paragraph 3 of Part 1 of </w:t>
            </w:r>
            <w:r w:rsidRPr="00093B1C">
              <w:rPr>
                <w:bCs/>
                <w:color w:val="auto"/>
              </w:rPr>
              <w:lastRenderedPageBreak/>
              <w:t>Schedule 12A of the Local Government Act 1972</w:t>
            </w:r>
          </w:p>
          <w:p w:rsidR="0068455E" w:rsidRPr="00093B1C" w:rsidRDefault="00712474" w:rsidP="000504C7">
            <w:pPr>
              <w:numPr>
                <w:ilvl w:val="0"/>
                <w:numId w:val="34"/>
              </w:numPr>
              <w:rPr>
                <w:color w:val="auto"/>
                <w:szCs w:val="22"/>
                <w:lang w:val="en-US"/>
              </w:rPr>
            </w:pPr>
            <w:r w:rsidRPr="00093B1C">
              <w:rPr>
                <w:rFonts w:eastAsia="Calibri"/>
                <w:color w:val="auto"/>
                <w:szCs w:val="22"/>
                <w:lang w:eastAsia="en-US"/>
              </w:rPr>
              <w:t>Chronology of Contacts</w:t>
            </w:r>
            <w:r w:rsidR="0068455E" w:rsidRPr="00093B1C">
              <w:rPr>
                <w:rFonts w:eastAsia="Calibri"/>
                <w:color w:val="auto"/>
                <w:szCs w:val="22"/>
                <w:lang w:eastAsia="en-US"/>
              </w:rPr>
              <w:t xml:space="preserve"> </w:t>
            </w:r>
            <w:r w:rsidRPr="00093B1C">
              <w:rPr>
                <w:rFonts w:eastAsia="Calibri"/>
                <w:color w:val="auto"/>
                <w:szCs w:val="22"/>
                <w:lang w:eastAsia="en-US"/>
              </w:rPr>
              <w:t xml:space="preserve"> </w:t>
            </w:r>
            <w:r w:rsidRPr="00093B1C">
              <w:rPr>
                <w:bCs/>
                <w:color w:val="auto"/>
              </w:rPr>
              <w:t>Exempt from Publication by virtue of Paragraph 3 of Part 1 of Schedule 12A of the Local Government Act 1972</w:t>
            </w:r>
          </w:p>
          <w:p w:rsidR="00B861B0" w:rsidRPr="00093B1C" w:rsidRDefault="000504C7" w:rsidP="00B861B0">
            <w:pPr>
              <w:numPr>
                <w:ilvl w:val="0"/>
                <w:numId w:val="34"/>
              </w:numPr>
              <w:rPr>
                <w:color w:val="auto"/>
                <w:szCs w:val="22"/>
                <w:lang w:val="en-US"/>
              </w:rPr>
            </w:pPr>
            <w:r w:rsidRPr="00093B1C">
              <w:rPr>
                <w:color w:val="auto"/>
                <w:szCs w:val="22"/>
                <w:lang w:val="en-US"/>
              </w:rPr>
              <w:t xml:space="preserve">CPO </w:t>
            </w:r>
            <w:r w:rsidR="00712474" w:rsidRPr="00093B1C">
              <w:rPr>
                <w:color w:val="auto"/>
                <w:szCs w:val="22"/>
                <w:lang w:val="en-US"/>
              </w:rPr>
              <w:t>C</w:t>
            </w:r>
            <w:r w:rsidR="00A22568" w:rsidRPr="00093B1C">
              <w:rPr>
                <w:color w:val="auto"/>
                <w:szCs w:val="22"/>
                <w:lang w:val="en-US"/>
              </w:rPr>
              <w:t>osts</w:t>
            </w:r>
            <w:r w:rsidR="00712474" w:rsidRPr="00093B1C">
              <w:rPr>
                <w:color w:val="auto"/>
                <w:szCs w:val="22"/>
                <w:lang w:val="en-US"/>
              </w:rPr>
              <w:t xml:space="preserve"> </w:t>
            </w:r>
            <w:r w:rsidR="00A22568" w:rsidRPr="00093B1C">
              <w:rPr>
                <w:color w:val="auto"/>
                <w:szCs w:val="22"/>
                <w:lang w:val="en-US"/>
              </w:rPr>
              <w:t xml:space="preserve"> </w:t>
            </w:r>
            <w:r w:rsidR="00A22568" w:rsidRPr="00093B1C">
              <w:rPr>
                <w:bCs/>
                <w:color w:val="auto"/>
              </w:rPr>
              <w:t>Exempt from Publication by virtue of Paragraph 3 of Part 1 of Schedule 12A of the Local Government Act 1972</w:t>
            </w:r>
            <w:r w:rsidR="00B861B0" w:rsidRPr="00093B1C">
              <w:rPr>
                <w:color w:val="auto"/>
                <w:szCs w:val="22"/>
                <w:lang w:val="en-US"/>
              </w:rPr>
              <w:t xml:space="preserve"> </w:t>
            </w:r>
          </w:p>
          <w:p w:rsidR="009B0713" w:rsidRPr="00B861B0" w:rsidRDefault="00712474" w:rsidP="00B861B0">
            <w:pPr>
              <w:numPr>
                <w:ilvl w:val="0"/>
                <w:numId w:val="34"/>
              </w:numPr>
              <w:rPr>
                <w:szCs w:val="22"/>
                <w:lang w:val="en-US"/>
              </w:rPr>
            </w:pPr>
            <w:r>
              <w:rPr>
                <w:szCs w:val="22"/>
                <w:lang w:val="en-US"/>
              </w:rPr>
              <w:t>Risk R</w:t>
            </w:r>
            <w:r w:rsidR="00B861B0" w:rsidRPr="0031252E">
              <w:rPr>
                <w:szCs w:val="22"/>
                <w:lang w:val="en-US"/>
              </w:rPr>
              <w:t>egister</w:t>
            </w:r>
          </w:p>
        </w:tc>
      </w:tr>
    </w:tbl>
    <w:p w:rsidR="00BD1835" w:rsidRDefault="00BD1835" w:rsidP="00BD1835">
      <w:pPr>
        <w:spacing w:after="0"/>
        <w:rPr>
          <w:rFonts w:eastAsia="Calibri" w:cs="Arial"/>
          <w:b/>
          <w:color w:val="auto"/>
          <w:lang w:eastAsia="en-US"/>
        </w:rPr>
      </w:pPr>
    </w:p>
    <w:p w:rsidR="00F06E4C" w:rsidRDefault="00F06E4C" w:rsidP="003610E5">
      <w:pPr>
        <w:spacing w:after="0"/>
        <w:rPr>
          <w:rFonts w:eastAsia="Calibri"/>
          <w:b/>
          <w:color w:val="auto"/>
          <w:szCs w:val="22"/>
          <w:lang w:eastAsia="en-US"/>
        </w:rPr>
      </w:pPr>
      <w:r>
        <w:rPr>
          <w:rFonts w:eastAsia="Calibri"/>
          <w:b/>
          <w:color w:val="auto"/>
          <w:szCs w:val="22"/>
          <w:lang w:eastAsia="en-US"/>
        </w:rPr>
        <w:t xml:space="preserve">Introduction </w:t>
      </w:r>
    </w:p>
    <w:p w:rsidR="00F06E4C" w:rsidRDefault="00F06E4C" w:rsidP="003610E5">
      <w:pPr>
        <w:spacing w:after="0"/>
        <w:rPr>
          <w:rFonts w:eastAsia="Calibri"/>
          <w:b/>
          <w:color w:val="auto"/>
          <w:szCs w:val="22"/>
          <w:lang w:eastAsia="en-US"/>
        </w:rPr>
      </w:pPr>
    </w:p>
    <w:p w:rsidR="000548D9" w:rsidRPr="00EF1F6D" w:rsidRDefault="00F06E4C" w:rsidP="00093B1C">
      <w:pPr>
        <w:pStyle w:val="bParagraphtext"/>
      </w:pPr>
      <w:r w:rsidRPr="00EF1F6D">
        <w:t>This report seeks authorisation to initiate compulsory purchase proceedings in relation to an empty dwelling</w:t>
      </w:r>
      <w:r w:rsidR="00BE1553" w:rsidRPr="00EF1F6D">
        <w:t xml:space="preserve"> in</w:t>
      </w:r>
      <w:r w:rsidRPr="00EF1F6D">
        <w:t xml:space="preserve"> Spencer </w:t>
      </w:r>
      <w:r w:rsidR="009B7899" w:rsidRPr="00EF1F6D">
        <w:t>Crescent</w:t>
      </w:r>
      <w:r w:rsidRPr="00EF1F6D">
        <w:t xml:space="preserve">, Oxford, which has been </w:t>
      </w:r>
      <w:r w:rsidR="009B7899" w:rsidRPr="00EF1F6D">
        <w:t xml:space="preserve">empty </w:t>
      </w:r>
      <w:r w:rsidRPr="00EF1F6D">
        <w:t>since 1989</w:t>
      </w:r>
      <w:r w:rsidR="002F40ED" w:rsidRPr="00EF1F6D">
        <w:t xml:space="preserve"> (site plan attached at Appendix A)</w:t>
      </w:r>
      <w:r w:rsidRPr="00EF1F6D">
        <w:t xml:space="preserve">. </w:t>
      </w:r>
    </w:p>
    <w:p w:rsidR="000548D9" w:rsidRPr="00EF1F6D" w:rsidRDefault="00D40DD4" w:rsidP="00093B1C">
      <w:pPr>
        <w:pStyle w:val="bParagraphtext"/>
      </w:pPr>
      <w:r w:rsidRPr="00EF1F6D">
        <w:t xml:space="preserve">The Council have an </w:t>
      </w:r>
      <w:r w:rsidR="00C61915" w:rsidRPr="00EF1F6D">
        <w:t xml:space="preserve">approved </w:t>
      </w:r>
      <w:r w:rsidRPr="00EF1F6D">
        <w:t xml:space="preserve">Empty Homes </w:t>
      </w:r>
      <w:r w:rsidR="009B7899" w:rsidRPr="00EF1F6D">
        <w:t>Strategy</w:t>
      </w:r>
      <w:r w:rsidRPr="00EF1F6D">
        <w:t xml:space="preserve"> </w:t>
      </w:r>
      <w:r w:rsidR="00F06E4C" w:rsidRPr="00EF1F6D">
        <w:t xml:space="preserve">2013-2018 </w:t>
      </w:r>
      <w:r w:rsidRPr="00EF1F6D">
        <w:t xml:space="preserve">which states that it is </w:t>
      </w:r>
      <w:r w:rsidR="00C61915" w:rsidRPr="00EF1F6D">
        <w:t>‘</w:t>
      </w:r>
      <w:r w:rsidR="00C42C31" w:rsidRPr="00EF1F6D">
        <w:t>unacceptable</w:t>
      </w:r>
      <w:r w:rsidRPr="00EF1F6D">
        <w:t xml:space="preserve"> for a dwelling to be unoccupied unless for good reason</w:t>
      </w:r>
      <w:r w:rsidR="00C61915" w:rsidRPr="00EF1F6D">
        <w:t>’</w:t>
      </w:r>
      <w:r w:rsidRPr="00EF1F6D">
        <w:t xml:space="preserve">. The </w:t>
      </w:r>
      <w:r w:rsidR="009B7899" w:rsidRPr="00EF1F6D">
        <w:t>Strategy</w:t>
      </w:r>
      <w:r w:rsidRPr="00EF1F6D">
        <w:t xml:space="preserve"> </w:t>
      </w:r>
      <w:r w:rsidR="00E90ABC" w:rsidRPr="00EF1F6D">
        <w:t>advises</w:t>
      </w:r>
      <w:r w:rsidRPr="00EF1F6D">
        <w:t xml:space="preserve"> that </w:t>
      </w:r>
      <w:r w:rsidR="00C61915" w:rsidRPr="00EF1F6D">
        <w:t>‘T</w:t>
      </w:r>
      <w:r w:rsidRPr="00EF1F6D">
        <w:t xml:space="preserve">he Council will </w:t>
      </w:r>
      <w:r w:rsidR="000548D9" w:rsidRPr="00EF1F6D">
        <w:t xml:space="preserve">make every effort </w:t>
      </w:r>
      <w:r w:rsidR="00C61915" w:rsidRPr="00EF1F6D">
        <w:t xml:space="preserve">to </w:t>
      </w:r>
      <w:r w:rsidR="00F06E4C" w:rsidRPr="00EF1F6D">
        <w:t xml:space="preserve">encourage owners of empty properties </w:t>
      </w:r>
      <w:r w:rsidRPr="00EF1F6D">
        <w:t xml:space="preserve">to bring them </w:t>
      </w:r>
      <w:r w:rsidR="003603AA" w:rsidRPr="00EF1F6D">
        <w:t>back into use</w:t>
      </w:r>
      <w:r w:rsidRPr="00EF1F6D">
        <w:t xml:space="preserve"> however</w:t>
      </w:r>
      <w:r w:rsidR="0084239D" w:rsidRPr="00EF1F6D">
        <w:t>,</w:t>
      </w:r>
      <w:r w:rsidRPr="00EF1F6D">
        <w:t xml:space="preserve"> where an owner is unwilling or unable to bring an empty dwelling back into use</w:t>
      </w:r>
      <w:r w:rsidR="0084239D" w:rsidRPr="00EF1F6D">
        <w:t>,</w:t>
      </w:r>
      <w:r w:rsidRPr="00EF1F6D">
        <w:t xml:space="preserve"> the Council will take formal action to ensure it is occupied</w:t>
      </w:r>
      <w:r w:rsidR="00C61915" w:rsidRPr="00EF1F6D">
        <w:t>’</w:t>
      </w:r>
      <w:r w:rsidRPr="00EF1F6D">
        <w:t xml:space="preserve">. </w:t>
      </w:r>
    </w:p>
    <w:p w:rsidR="00F06E4C" w:rsidRPr="00EF1F6D" w:rsidRDefault="00D40DD4" w:rsidP="00093B1C">
      <w:pPr>
        <w:pStyle w:val="bParagraphtext"/>
      </w:pPr>
      <w:r w:rsidRPr="00EF1F6D">
        <w:t>Compulsory purchase of dwellin</w:t>
      </w:r>
      <w:r w:rsidR="007C364E" w:rsidRPr="00EF1F6D">
        <w:t xml:space="preserve">gs is included within the </w:t>
      </w:r>
      <w:r w:rsidR="009B7899" w:rsidRPr="00EF1F6D">
        <w:t>Strategy</w:t>
      </w:r>
      <w:r w:rsidR="007C364E" w:rsidRPr="00EF1F6D">
        <w:t xml:space="preserve"> as an option where negotiation has failed. </w:t>
      </w:r>
      <w:r w:rsidR="00F06E4C" w:rsidRPr="00EF1F6D">
        <w:t xml:space="preserve">Such actions </w:t>
      </w:r>
      <w:r w:rsidR="003603AA" w:rsidRPr="00EF1F6D">
        <w:t xml:space="preserve">make </w:t>
      </w:r>
      <w:r w:rsidR="00C61915" w:rsidRPr="00EF1F6D">
        <w:t>a contribution towards meeting Housing N</w:t>
      </w:r>
      <w:r w:rsidR="003603AA" w:rsidRPr="00EF1F6D">
        <w:t>eed in the City</w:t>
      </w:r>
      <w:r w:rsidR="00C61915" w:rsidRPr="00EF1F6D">
        <w:t>;</w:t>
      </w:r>
      <w:r w:rsidR="007C364E" w:rsidRPr="00EF1F6D">
        <w:t xml:space="preserve"> </w:t>
      </w:r>
      <w:r w:rsidR="00C61915" w:rsidRPr="00EF1F6D">
        <w:t xml:space="preserve">reduce </w:t>
      </w:r>
      <w:r w:rsidR="0044248E" w:rsidRPr="00EF1F6D">
        <w:t>the risk of</w:t>
      </w:r>
      <w:r w:rsidR="00633A8C" w:rsidRPr="00EF1F6D">
        <w:t>,</w:t>
      </w:r>
      <w:r w:rsidR="0044248E" w:rsidRPr="00EF1F6D">
        <w:t xml:space="preserve"> or </w:t>
      </w:r>
      <w:r w:rsidR="00F06E4C" w:rsidRPr="00EF1F6D">
        <w:t>eliminate environmental nuisance</w:t>
      </w:r>
      <w:r w:rsidR="007C364E" w:rsidRPr="00EF1F6D">
        <w:t>,</w:t>
      </w:r>
      <w:r w:rsidR="000548D9" w:rsidRPr="00EF1F6D">
        <w:t xml:space="preserve"> as</w:t>
      </w:r>
      <w:r w:rsidR="00C61915" w:rsidRPr="00EF1F6D">
        <w:t>sist in reducing time spent by C</w:t>
      </w:r>
      <w:r w:rsidR="000548D9" w:rsidRPr="00EF1F6D">
        <w:t>ouncil officers and emergency services in dealing with issues relating to empty dwellings.</w:t>
      </w:r>
      <w:r w:rsidR="002836A7" w:rsidRPr="00EF1F6D">
        <w:t xml:space="preserve"> </w:t>
      </w:r>
    </w:p>
    <w:p w:rsidR="00F06E4C" w:rsidRPr="00EF1F6D" w:rsidRDefault="00F06E4C" w:rsidP="003610E5">
      <w:pPr>
        <w:spacing w:after="0"/>
      </w:pPr>
    </w:p>
    <w:p w:rsidR="00BD1835" w:rsidRPr="00EF1F6D" w:rsidRDefault="00144B68" w:rsidP="003610E5">
      <w:pPr>
        <w:pStyle w:val="ListParagraph"/>
        <w:numPr>
          <w:ilvl w:val="0"/>
          <w:numId w:val="0"/>
        </w:numPr>
        <w:tabs>
          <w:tab w:val="clear" w:pos="426"/>
          <w:tab w:val="left" w:pos="0"/>
        </w:tabs>
        <w:spacing w:after="0"/>
        <w:rPr>
          <w:rFonts w:eastAsia="Calibri"/>
          <w:b/>
          <w:color w:val="auto"/>
          <w:szCs w:val="22"/>
          <w:lang w:eastAsia="en-US"/>
        </w:rPr>
      </w:pPr>
      <w:r>
        <w:rPr>
          <w:rFonts w:eastAsia="Calibri"/>
          <w:b/>
          <w:color w:val="auto"/>
          <w:szCs w:val="22"/>
          <w:lang w:eastAsia="en-US"/>
        </w:rPr>
        <w:t>Background</w:t>
      </w:r>
    </w:p>
    <w:p w:rsidR="00BD1835" w:rsidRPr="00EF1F6D" w:rsidRDefault="00BD1835" w:rsidP="003610E5">
      <w:pPr>
        <w:spacing w:after="0"/>
        <w:rPr>
          <w:rFonts w:eastAsia="Calibri"/>
          <w:color w:val="auto"/>
          <w:szCs w:val="22"/>
          <w:lang w:eastAsia="en-US"/>
        </w:rPr>
      </w:pPr>
    </w:p>
    <w:p w:rsidR="00655562" w:rsidRPr="00EF1F6D" w:rsidRDefault="00C61915" w:rsidP="00093B1C">
      <w:pPr>
        <w:pStyle w:val="bParagraphtext"/>
      </w:pPr>
      <w:r w:rsidRPr="00EF1F6D">
        <w:rPr>
          <w:rFonts w:eastAsia="Calibri"/>
          <w:lang w:eastAsia="en-US"/>
        </w:rPr>
        <w:t>The subject property is a 3-bed ex-</w:t>
      </w:r>
      <w:r w:rsidR="00BD1835" w:rsidRPr="00EF1F6D">
        <w:rPr>
          <w:rFonts w:eastAsia="Calibri"/>
          <w:lang w:eastAsia="en-US"/>
        </w:rPr>
        <w:t>local authority family home on Rose Hill</w:t>
      </w:r>
      <w:r w:rsidRPr="00EF1F6D">
        <w:rPr>
          <w:rFonts w:eastAsia="Calibri"/>
          <w:lang w:eastAsia="en-US"/>
        </w:rPr>
        <w:t>,</w:t>
      </w:r>
      <w:r w:rsidR="000548D9" w:rsidRPr="00EF1F6D">
        <w:rPr>
          <w:rFonts w:eastAsia="Calibri"/>
          <w:lang w:eastAsia="en-US"/>
        </w:rPr>
        <w:t xml:space="preserve"> which was purchased by the owner under </w:t>
      </w:r>
      <w:r w:rsidRPr="00EF1F6D">
        <w:rPr>
          <w:rFonts w:eastAsia="Calibri"/>
          <w:lang w:eastAsia="en-US"/>
        </w:rPr>
        <w:t xml:space="preserve">the </w:t>
      </w:r>
      <w:r w:rsidR="009B7899" w:rsidRPr="00EF1F6D">
        <w:rPr>
          <w:rFonts w:eastAsia="Calibri"/>
          <w:lang w:eastAsia="en-US"/>
        </w:rPr>
        <w:t xml:space="preserve">Right to </w:t>
      </w:r>
      <w:proofErr w:type="gramStart"/>
      <w:r w:rsidR="009B7899" w:rsidRPr="00EF1F6D">
        <w:rPr>
          <w:rFonts w:eastAsia="Calibri"/>
          <w:lang w:eastAsia="en-US"/>
        </w:rPr>
        <w:t>Buy</w:t>
      </w:r>
      <w:proofErr w:type="gramEnd"/>
      <w:r w:rsidR="000548D9" w:rsidRPr="00EF1F6D">
        <w:rPr>
          <w:rFonts w:eastAsia="Calibri"/>
          <w:lang w:eastAsia="en-US"/>
        </w:rPr>
        <w:t xml:space="preserve"> </w:t>
      </w:r>
      <w:r w:rsidRPr="00EF1F6D">
        <w:rPr>
          <w:rFonts w:eastAsia="Calibri"/>
          <w:lang w:eastAsia="en-US"/>
        </w:rPr>
        <w:t xml:space="preserve">legislation </w:t>
      </w:r>
      <w:r w:rsidR="000548D9" w:rsidRPr="00EF1F6D">
        <w:rPr>
          <w:rFonts w:eastAsia="Calibri"/>
          <w:lang w:eastAsia="en-US"/>
        </w:rPr>
        <w:t>in 1988</w:t>
      </w:r>
      <w:r w:rsidR="00BD1835" w:rsidRPr="00EF1F6D">
        <w:rPr>
          <w:rFonts w:eastAsia="Calibri"/>
          <w:lang w:eastAsia="en-US"/>
        </w:rPr>
        <w:t xml:space="preserve">. </w:t>
      </w:r>
      <w:r w:rsidR="00655562" w:rsidRPr="00EF1F6D">
        <w:rPr>
          <w:rFonts w:eastAsia="Calibri"/>
          <w:lang w:eastAsia="en-US"/>
        </w:rPr>
        <w:t xml:space="preserve">The following year, the owner died. </w:t>
      </w:r>
      <w:r w:rsidR="0029120F" w:rsidRPr="00EF1F6D">
        <w:rPr>
          <w:rFonts w:eastAsia="Calibri"/>
          <w:lang w:eastAsia="en-US"/>
        </w:rPr>
        <w:t xml:space="preserve">The property is exempt from </w:t>
      </w:r>
      <w:r w:rsidR="009B7899" w:rsidRPr="00EF1F6D">
        <w:rPr>
          <w:rFonts w:eastAsia="Calibri"/>
          <w:lang w:eastAsia="en-US"/>
        </w:rPr>
        <w:t>Council Tax</w:t>
      </w:r>
      <w:r w:rsidRPr="00EF1F6D">
        <w:rPr>
          <w:rFonts w:eastAsia="Calibri"/>
          <w:lang w:eastAsia="en-US"/>
        </w:rPr>
        <w:t xml:space="preserve"> under E</w:t>
      </w:r>
      <w:r w:rsidR="0029120F" w:rsidRPr="00EF1F6D">
        <w:rPr>
          <w:rFonts w:eastAsia="Calibri"/>
          <w:lang w:eastAsia="en-US"/>
        </w:rPr>
        <w:t xml:space="preserve">xemption </w:t>
      </w:r>
      <w:r w:rsidRPr="00EF1F6D">
        <w:rPr>
          <w:rFonts w:eastAsia="Calibri"/>
          <w:lang w:eastAsia="en-US"/>
        </w:rPr>
        <w:t>‘</w:t>
      </w:r>
      <w:r w:rsidR="0029120F" w:rsidRPr="00EF1F6D">
        <w:rPr>
          <w:rFonts w:eastAsia="Calibri"/>
          <w:lang w:eastAsia="en-US"/>
        </w:rPr>
        <w:t>F</w:t>
      </w:r>
      <w:r w:rsidRPr="00EF1F6D">
        <w:rPr>
          <w:rFonts w:eastAsia="Calibri"/>
          <w:lang w:eastAsia="en-US"/>
        </w:rPr>
        <w:t>’</w:t>
      </w:r>
      <w:r w:rsidR="0029120F" w:rsidRPr="00EF1F6D">
        <w:rPr>
          <w:rFonts w:eastAsia="Calibri"/>
          <w:lang w:eastAsia="en-US"/>
        </w:rPr>
        <w:t xml:space="preserve"> </w:t>
      </w:r>
      <w:r w:rsidR="00E02675" w:rsidRPr="00EF1F6D">
        <w:rPr>
          <w:rFonts w:eastAsia="Calibri"/>
          <w:lang w:eastAsia="en-US"/>
        </w:rPr>
        <w:t xml:space="preserve">where </w:t>
      </w:r>
      <w:r w:rsidRPr="00EF1F6D">
        <w:rPr>
          <w:rFonts w:eastAsia="Calibri"/>
          <w:lang w:eastAsia="en-US"/>
        </w:rPr>
        <w:t xml:space="preserve">the </w:t>
      </w:r>
      <w:r w:rsidR="000548D9" w:rsidRPr="00EF1F6D">
        <w:rPr>
          <w:rFonts w:eastAsia="Calibri"/>
          <w:lang w:eastAsia="en-US"/>
        </w:rPr>
        <w:t xml:space="preserve">property </w:t>
      </w:r>
      <w:r w:rsidR="0029120F" w:rsidRPr="00EF1F6D">
        <w:rPr>
          <w:rFonts w:eastAsia="Calibri"/>
          <w:lang w:eastAsia="en-US"/>
        </w:rPr>
        <w:t xml:space="preserve">is recorded as having been unoccupied </w:t>
      </w:r>
      <w:r w:rsidRPr="00EF1F6D">
        <w:rPr>
          <w:rFonts w:eastAsia="Calibri"/>
          <w:lang w:eastAsia="en-US"/>
        </w:rPr>
        <w:t>‘</w:t>
      </w:r>
      <w:r w:rsidR="0029120F" w:rsidRPr="00EF1F6D">
        <w:rPr>
          <w:rFonts w:eastAsia="Calibri"/>
          <w:lang w:eastAsia="en-US"/>
        </w:rPr>
        <w:t>since the death of the owner in March 1989</w:t>
      </w:r>
      <w:r w:rsidRPr="00EF1F6D">
        <w:rPr>
          <w:rFonts w:eastAsia="Calibri"/>
          <w:lang w:eastAsia="en-US"/>
        </w:rPr>
        <w:t>’</w:t>
      </w:r>
      <w:r w:rsidR="0029120F" w:rsidRPr="00EF1F6D">
        <w:rPr>
          <w:rFonts w:eastAsia="Calibri"/>
          <w:lang w:eastAsia="en-US"/>
        </w:rPr>
        <w:t>.</w:t>
      </w:r>
      <w:r w:rsidR="005F43E8" w:rsidRPr="00EF1F6D">
        <w:rPr>
          <w:rFonts w:eastAsia="Calibri"/>
          <w:lang w:eastAsia="en-US"/>
        </w:rPr>
        <w:t xml:space="preserve"> </w:t>
      </w:r>
      <w:r w:rsidR="0029120F" w:rsidRPr="00EF1F6D">
        <w:rPr>
          <w:rFonts w:eastAsia="Calibri"/>
          <w:lang w:eastAsia="en-US"/>
        </w:rPr>
        <w:t xml:space="preserve">The loss in </w:t>
      </w:r>
      <w:r w:rsidR="009B7899" w:rsidRPr="00EF1F6D">
        <w:rPr>
          <w:rFonts w:eastAsia="Calibri"/>
          <w:lang w:eastAsia="en-US"/>
        </w:rPr>
        <w:t>Council Tax</w:t>
      </w:r>
      <w:r w:rsidRPr="00EF1F6D">
        <w:rPr>
          <w:rFonts w:eastAsia="Calibri"/>
          <w:lang w:eastAsia="en-US"/>
        </w:rPr>
        <w:t xml:space="preserve"> R</w:t>
      </w:r>
      <w:r w:rsidR="0029120F" w:rsidRPr="00EF1F6D">
        <w:rPr>
          <w:rFonts w:eastAsia="Calibri"/>
          <w:lang w:eastAsia="en-US"/>
        </w:rPr>
        <w:t xml:space="preserve">evenue since </w:t>
      </w:r>
      <w:r w:rsidRPr="00EF1F6D">
        <w:rPr>
          <w:rFonts w:eastAsia="Calibri"/>
          <w:lang w:eastAsia="en-US"/>
        </w:rPr>
        <w:t xml:space="preserve">that time </w:t>
      </w:r>
      <w:r w:rsidR="0029120F" w:rsidRPr="00EF1F6D">
        <w:rPr>
          <w:rFonts w:eastAsia="Calibri"/>
          <w:lang w:eastAsia="en-US"/>
        </w:rPr>
        <w:t xml:space="preserve">is approximately £24,000. </w:t>
      </w:r>
    </w:p>
    <w:p w:rsidR="009B0713" w:rsidRPr="00093B1C" w:rsidRDefault="009B7899" w:rsidP="00093B1C">
      <w:pPr>
        <w:pStyle w:val="bParagraphtext"/>
      </w:pPr>
      <w:r w:rsidRPr="00EF1F6D">
        <w:rPr>
          <w:rFonts w:eastAsia="Calibri"/>
          <w:lang w:eastAsia="en-US"/>
        </w:rPr>
        <w:t xml:space="preserve">Council </w:t>
      </w:r>
      <w:r w:rsidR="0044248E" w:rsidRPr="00EF1F6D">
        <w:rPr>
          <w:rFonts w:eastAsia="Calibri"/>
          <w:lang w:eastAsia="en-US"/>
        </w:rPr>
        <w:t xml:space="preserve">records </w:t>
      </w:r>
      <w:r w:rsidR="00633A8C" w:rsidRPr="00EF1F6D">
        <w:rPr>
          <w:rFonts w:eastAsia="Calibri"/>
          <w:lang w:eastAsia="en-US"/>
        </w:rPr>
        <w:t xml:space="preserve">provide information on a </w:t>
      </w:r>
      <w:r w:rsidR="00C61915" w:rsidRPr="00EF1F6D">
        <w:rPr>
          <w:rFonts w:eastAsia="Calibri"/>
          <w:lang w:eastAsia="en-US"/>
        </w:rPr>
        <w:t>son who declared himself E</w:t>
      </w:r>
      <w:r w:rsidR="0044248E" w:rsidRPr="00EF1F6D">
        <w:rPr>
          <w:rFonts w:eastAsia="Calibri"/>
          <w:lang w:eastAsia="en-US"/>
        </w:rPr>
        <w:t>x</w:t>
      </w:r>
      <w:r w:rsidR="00655562" w:rsidRPr="00EF1F6D">
        <w:rPr>
          <w:rFonts w:eastAsia="Calibri"/>
          <w:lang w:eastAsia="en-US"/>
        </w:rPr>
        <w:t xml:space="preserve">ecutor of the </w:t>
      </w:r>
      <w:r w:rsidR="00C61915" w:rsidRPr="00EF1F6D">
        <w:rPr>
          <w:rFonts w:eastAsia="Calibri"/>
          <w:lang w:eastAsia="en-US"/>
        </w:rPr>
        <w:t xml:space="preserve">deceased’s estate.  </w:t>
      </w:r>
      <w:r w:rsidR="0084239D" w:rsidRPr="00EF1F6D">
        <w:rPr>
          <w:rFonts w:eastAsia="Calibri"/>
          <w:lang w:eastAsia="en-US"/>
        </w:rPr>
        <w:t>N</w:t>
      </w:r>
      <w:r w:rsidR="00C61915" w:rsidRPr="00EF1F6D">
        <w:rPr>
          <w:rFonts w:eastAsia="Calibri"/>
          <w:lang w:eastAsia="en-US"/>
        </w:rPr>
        <w:t>either</w:t>
      </w:r>
      <w:r w:rsidR="00C42C31" w:rsidRPr="00EF1F6D">
        <w:rPr>
          <w:rFonts w:eastAsia="Calibri"/>
          <w:lang w:eastAsia="en-US"/>
        </w:rPr>
        <w:t xml:space="preserve"> the Will nor</w:t>
      </w:r>
      <w:r w:rsidR="00633A8C" w:rsidRPr="00EF1F6D">
        <w:rPr>
          <w:rFonts w:eastAsia="Calibri"/>
          <w:lang w:eastAsia="en-US"/>
        </w:rPr>
        <w:t xml:space="preserve"> the </w:t>
      </w:r>
      <w:r w:rsidR="00C61915" w:rsidRPr="00EF1F6D">
        <w:rPr>
          <w:rFonts w:eastAsia="Calibri"/>
          <w:lang w:eastAsia="en-US"/>
        </w:rPr>
        <w:t>E</w:t>
      </w:r>
      <w:r w:rsidR="00C42C31" w:rsidRPr="00EF1F6D">
        <w:rPr>
          <w:rFonts w:eastAsia="Calibri"/>
          <w:lang w:eastAsia="en-US"/>
        </w:rPr>
        <w:t>state has</w:t>
      </w:r>
      <w:r w:rsidR="0029120F" w:rsidRPr="00EF1F6D">
        <w:rPr>
          <w:rFonts w:eastAsia="Calibri"/>
          <w:lang w:eastAsia="en-US"/>
        </w:rPr>
        <w:t xml:space="preserve"> been presented </w:t>
      </w:r>
      <w:r w:rsidR="00BD1835" w:rsidRPr="00EF1F6D">
        <w:rPr>
          <w:rFonts w:eastAsia="Calibri"/>
          <w:lang w:eastAsia="en-US"/>
        </w:rPr>
        <w:t>for probate</w:t>
      </w:r>
      <w:r w:rsidR="00633A8C" w:rsidRPr="00EF1F6D">
        <w:rPr>
          <w:rFonts w:eastAsia="Calibri"/>
          <w:lang w:eastAsia="en-US"/>
        </w:rPr>
        <w:t xml:space="preserve"> purposes</w:t>
      </w:r>
      <w:r w:rsidR="00BD1835" w:rsidRPr="00EF1F6D">
        <w:rPr>
          <w:rFonts w:eastAsia="Calibri"/>
          <w:lang w:eastAsia="en-US"/>
        </w:rPr>
        <w:t xml:space="preserve">. </w:t>
      </w:r>
      <w:r w:rsidR="00655562" w:rsidRPr="00EF1F6D">
        <w:rPr>
          <w:rFonts w:eastAsia="Calibri"/>
          <w:lang w:eastAsia="en-US"/>
        </w:rPr>
        <w:t xml:space="preserve">The Council are aware that </w:t>
      </w:r>
      <w:r w:rsidR="00BB24EC">
        <w:rPr>
          <w:rFonts w:eastAsia="Calibri"/>
          <w:lang w:eastAsia="en-US"/>
        </w:rPr>
        <w:t xml:space="preserve">he has two sisters </w:t>
      </w:r>
      <w:r w:rsidR="00655562" w:rsidRPr="00EF1F6D">
        <w:rPr>
          <w:rFonts w:eastAsia="Calibri"/>
          <w:lang w:eastAsia="en-US"/>
        </w:rPr>
        <w:t>but attempts to trace them have been unsuccessful.</w:t>
      </w:r>
    </w:p>
    <w:p w:rsidR="00A22568" w:rsidRPr="00093B1C" w:rsidRDefault="00A22568" w:rsidP="00093B1C">
      <w:pPr>
        <w:pStyle w:val="bParagraphtext"/>
        <w:rPr>
          <w:rFonts w:eastAsia="Calibri"/>
          <w:lang w:eastAsia="en-US"/>
        </w:rPr>
      </w:pPr>
      <w:r w:rsidRPr="00EF1F6D">
        <w:rPr>
          <w:rFonts w:eastAsia="Calibri"/>
          <w:lang w:eastAsia="en-US"/>
        </w:rPr>
        <w:t>The Council have been in contact with the son of the deceased owner since at least 1990 princ</w:t>
      </w:r>
      <w:r>
        <w:rPr>
          <w:rFonts w:eastAsia="Calibri"/>
          <w:lang w:eastAsia="en-US"/>
        </w:rPr>
        <w:t>i</w:t>
      </w:r>
      <w:r w:rsidRPr="00EF1F6D">
        <w:rPr>
          <w:rFonts w:eastAsia="Calibri"/>
          <w:lang w:eastAsia="en-US"/>
        </w:rPr>
        <w:t>p</w:t>
      </w:r>
      <w:r>
        <w:rPr>
          <w:rFonts w:eastAsia="Calibri"/>
          <w:lang w:eastAsia="en-US"/>
        </w:rPr>
        <w:t>a</w:t>
      </w:r>
      <w:r w:rsidRPr="00EF1F6D">
        <w:rPr>
          <w:rFonts w:eastAsia="Calibri"/>
          <w:lang w:eastAsia="en-US"/>
        </w:rPr>
        <w:t>l</w:t>
      </w:r>
      <w:r>
        <w:rPr>
          <w:rFonts w:eastAsia="Calibri"/>
          <w:lang w:eastAsia="en-US"/>
        </w:rPr>
        <w:t>l</w:t>
      </w:r>
      <w:r w:rsidRPr="00EF1F6D">
        <w:rPr>
          <w:rFonts w:eastAsia="Calibri"/>
          <w:lang w:eastAsia="en-US"/>
        </w:rPr>
        <w:t>y by letter</w:t>
      </w:r>
      <w:r>
        <w:rPr>
          <w:rFonts w:eastAsia="Calibri"/>
          <w:lang w:eastAsia="en-US"/>
        </w:rPr>
        <w:t>,</w:t>
      </w:r>
      <w:r w:rsidRPr="00EF1F6D">
        <w:rPr>
          <w:rFonts w:eastAsia="Calibri"/>
          <w:lang w:eastAsia="en-US"/>
        </w:rPr>
        <w:t xml:space="preserve"> and latterly by telephone. The latest letter sent on the 22 June 2016 by Law and Governance to the son has not been responded to. </w:t>
      </w:r>
      <w:proofErr w:type="gramStart"/>
      <w:r w:rsidRPr="00EF1F6D">
        <w:rPr>
          <w:rFonts w:eastAsia="Calibri"/>
          <w:lang w:eastAsia="en-US"/>
        </w:rPr>
        <w:t>Efforts have been made to trace the whereabouts of any other siblings but to no avail and the son has</w:t>
      </w:r>
      <w:proofErr w:type="gramEnd"/>
      <w:r w:rsidRPr="00EF1F6D">
        <w:rPr>
          <w:rFonts w:eastAsia="Calibri"/>
          <w:lang w:eastAsia="en-US"/>
        </w:rPr>
        <w:t xml:space="preserve"> not been forthcoming with specific information on his sister’s whereabouts</w:t>
      </w:r>
      <w:r>
        <w:rPr>
          <w:rFonts w:eastAsia="Calibri"/>
          <w:lang w:eastAsia="en-US"/>
        </w:rPr>
        <w:t xml:space="preserve">. Appendix B </w:t>
      </w:r>
      <w:r w:rsidR="00FE5D18">
        <w:rPr>
          <w:rFonts w:eastAsia="Calibri"/>
          <w:lang w:eastAsia="en-US"/>
        </w:rPr>
        <w:t xml:space="preserve">provides a chronological </w:t>
      </w:r>
      <w:r>
        <w:rPr>
          <w:rFonts w:eastAsia="Calibri"/>
          <w:lang w:eastAsia="en-US"/>
        </w:rPr>
        <w:t>list</w:t>
      </w:r>
      <w:r w:rsidR="00FE5D18">
        <w:rPr>
          <w:rFonts w:eastAsia="Calibri"/>
          <w:lang w:eastAsia="en-US"/>
        </w:rPr>
        <w:t xml:space="preserve"> of contacts </w:t>
      </w:r>
      <w:proofErr w:type="gramStart"/>
      <w:r w:rsidR="00FE5D18">
        <w:rPr>
          <w:rFonts w:eastAsia="Calibri"/>
          <w:lang w:eastAsia="en-US"/>
        </w:rPr>
        <w:t xml:space="preserve">and </w:t>
      </w:r>
      <w:r>
        <w:rPr>
          <w:rFonts w:eastAsia="Calibri"/>
          <w:lang w:eastAsia="en-US"/>
        </w:rPr>
        <w:t xml:space="preserve"> letters</w:t>
      </w:r>
      <w:proofErr w:type="gramEnd"/>
      <w:r>
        <w:rPr>
          <w:rFonts w:eastAsia="Calibri"/>
          <w:lang w:eastAsia="en-US"/>
        </w:rPr>
        <w:t xml:space="preserve"> </w:t>
      </w:r>
      <w:r w:rsidR="00FE5D18">
        <w:rPr>
          <w:rFonts w:eastAsia="Calibri"/>
          <w:lang w:eastAsia="en-US"/>
        </w:rPr>
        <w:t>with regard to this property</w:t>
      </w:r>
      <w:r w:rsidR="0068455E">
        <w:rPr>
          <w:rFonts w:eastAsia="Calibri"/>
          <w:lang w:eastAsia="en-US"/>
        </w:rPr>
        <w:t>.</w:t>
      </w:r>
    </w:p>
    <w:p w:rsidR="00A22568" w:rsidRPr="00EF1F6D" w:rsidRDefault="005929A5" w:rsidP="00093B1C">
      <w:pPr>
        <w:pStyle w:val="bParagraphtext"/>
        <w:rPr>
          <w:rFonts w:eastAsia="Calibri"/>
          <w:lang w:eastAsia="en-US"/>
        </w:rPr>
      </w:pPr>
      <w:r>
        <w:rPr>
          <w:rFonts w:eastAsia="Calibri"/>
          <w:lang w:eastAsia="en-US"/>
        </w:rPr>
        <w:t xml:space="preserve">On </w:t>
      </w:r>
      <w:r w:rsidR="00A22568" w:rsidRPr="00EF1F6D">
        <w:rPr>
          <w:rFonts w:eastAsia="Calibri"/>
          <w:lang w:eastAsia="en-US"/>
        </w:rPr>
        <w:t xml:space="preserve">11November 2015 OCC officers sent a Notice seeking to require information under </w:t>
      </w:r>
      <w:r w:rsidR="00A22568" w:rsidRPr="00EF1F6D">
        <w:rPr>
          <w:bCs/>
        </w:rPr>
        <w:t xml:space="preserve">Section 235 of the Housing Act 2004.  It was sent to the deceased owner’s son. The Notice requested that the Will be presented to the Council so that proof </w:t>
      </w:r>
      <w:r w:rsidR="00A22568" w:rsidRPr="00EF1F6D">
        <w:rPr>
          <w:bCs/>
        </w:rPr>
        <w:lastRenderedPageBreak/>
        <w:t>of Executor(s) identity could be established. A letter dated the 26 January 2016 was received from the son. The Will was not enclosed and to date the Will of the deceased owner has not been presented to the Council</w:t>
      </w:r>
      <w:r w:rsidR="00A22568">
        <w:rPr>
          <w:bCs/>
        </w:rPr>
        <w:t xml:space="preserve"> or for probate</w:t>
      </w:r>
      <w:r w:rsidR="00A22568" w:rsidRPr="00EF1F6D">
        <w:rPr>
          <w:bCs/>
        </w:rPr>
        <w:t>.</w:t>
      </w:r>
      <w:r w:rsidR="00A22568">
        <w:rPr>
          <w:bCs/>
        </w:rPr>
        <w:t xml:space="preserve"> The dwelling is classed as being in unknown ownership because the owner is deceased.</w:t>
      </w:r>
    </w:p>
    <w:p w:rsidR="00F77084" w:rsidRPr="00093B1C" w:rsidRDefault="00F77084" w:rsidP="00093B1C">
      <w:pPr>
        <w:pStyle w:val="Heading1"/>
        <w:rPr>
          <w:rFonts w:eastAsia="Calibri"/>
          <w:lang w:eastAsia="en-US"/>
        </w:rPr>
      </w:pPr>
      <w:r w:rsidRPr="00EF1F6D">
        <w:rPr>
          <w:rFonts w:eastAsia="Calibri"/>
          <w:lang w:eastAsia="en-US"/>
        </w:rPr>
        <w:t>Options</w:t>
      </w:r>
      <w:r w:rsidR="00167486" w:rsidRPr="00EF1F6D">
        <w:rPr>
          <w:rFonts w:eastAsia="Calibri"/>
          <w:lang w:eastAsia="en-US"/>
        </w:rPr>
        <w:t>:</w:t>
      </w:r>
    </w:p>
    <w:p w:rsidR="00F77084" w:rsidRPr="00F520AB" w:rsidRDefault="00F77084" w:rsidP="005929A5">
      <w:pPr>
        <w:pStyle w:val="Heading1"/>
      </w:pPr>
      <w:r w:rsidRPr="00093B1C">
        <w:t xml:space="preserve">Do nothing </w:t>
      </w:r>
    </w:p>
    <w:p w:rsidR="00167486" w:rsidRPr="00C25CD0" w:rsidRDefault="00F77084" w:rsidP="00093B1C">
      <w:pPr>
        <w:pStyle w:val="bParagraphtext"/>
      </w:pPr>
      <w:r>
        <w:t>This is not considered an appropriate option. The need for housing within the city and the potential for the property to impact adversely from an amenity issue</w:t>
      </w:r>
      <w:r w:rsidR="00C25CD0">
        <w:t xml:space="preserve"> support the pursuance of a CPO.</w:t>
      </w:r>
    </w:p>
    <w:p w:rsidR="00F77084" w:rsidRPr="00093B1C" w:rsidRDefault="00F77084" w:rsidP="00093B1C">
      <w:pPr>
        <w:pStyle w:val="Heading1"/>
        <w:rPr>
          <w:rFonts w:eastAsia="Calibri"/>
          <w:lang w:eastAsia="en-US"/>
        </w:rPr>
      </w:pPr>
      <w:r w:rsidRPr="00EF1F6D">
        <w:rPr>
          <w:rFonts w:eastAsia="Calibri"/>
          <w:lang w:eastAsia="en-US"/>
        </w:rPr>
        <w:t xml:space="preserve">EDMO Housing Act 2004 </w:t>
      </w:r>
    </w:p>
    <w:p w:rsidR="00563D54" w:rsidRPr="00821A40" w:rsidRDefault="00563D54" w:rsidP="00093B1C">
      <w:pPr>
        <w:pStyle w:val="bParagraphtext"/>
      </w:pPr>
      <w:r w:rsidRPr="00821A40">
        <w:rPr>
          <w:rFonts w:eastAsia="Calibri"/>
          <w:color w:val="auto"/>
          <w:lang w:eastAsia="en-US"/>
        </w:rPr>
        <w:t xml:space="preserve">This property is exempt </w:t>
      </w:r>
      <w:r w:rsidRPr="00821A40">
        <w:t>from an application being made f</w:t>
      </w:r>
      <w:r w:rsidR="00821A40">
        <w:t>or an Empty Dwelling Management</w:t>
      </w:r>
      <w:r w:rsidR="00821A40" w:rsidRPr="00821A40">
        <w:t xml:space="preserve"> </w:t>
      </w:r>
      <w:r w:rsidRPr="00821A40">
        <w:t>Order</w:t>
      </w:r>
      <w:r w:rsidRPr="00821A40">
        <w:rPr>
          <w:rFonts w:eastAsia="Calibri"/>
          <w:color w:val="auto"/>
          <w:lang w:eastAsia="en-US"/>
        </w:rPr>
        <w:t xml:space="preserve"> under </w:t>
      </w:r>
      <w:r w:rsidRPr="00821A40">
        <w:t>The Housing (Empty Dwelling Management Orders) (Prescribed Exceptions and Requirements) (England) Order 2006 para (j).</w:t>
      </w:r>
    </w:p>
    <w:p w:rsidR="00563D54" w:rsidRPr="00821A40" w:rsidRDefault="00563D54" w:rsidP="00563D54">
      <w:pPr>
        <w:autoSpaceDE w:val="0"/>
        <w:autoSpaceDN w:val="0"/>
        <w:adjustRightInd w:val="0"/>
        <w:spacing w:after="0"/>
        <w:rPr>
          <w:rFonts w:cs="Arial"/>
        </w:rPr>
      </w:pPr>
    </w:p>
    <w:p w:rsidR="009D7E8B" w:rsidRPr="005929A5" w:rsidRDefault="00563D54" w:rsidP="005929A5">
      <w:pPr>
        <w:autoSpaceDE w:val="0"/>
        <w:autoSpaceDN w:val="0"/>
        <w:adjustRightInd w:val="0"/>
        <w:ind w:left="426"/>
        <w:rPr>
          <w:rFonts w:ascii="TimesNewRoman" w:hAnsi="TimesNewRoman" w:cs="TimesNewRoman"/>
          <w:i/>
        </w:rPr>
      </w:pPr>
      <w:r w:rsidRPr="00821A40">
        <w:rPr>
          <w:rFonts w:ascii="TimesNewRoman" w:hAnsi="TimesNewRoman" w:cs="TimesNewRoman"/>
          <w:i/>
        </w:rPr>
        <w:t xml:space="preserve">(j) </w:t>
      </w:r>
      <w:proofErr w:type="gramStart"/>
      <w:r w:rsidRPr="00821A40">
        <w:rPr>
          <w:rFonts w:ascii="TimesNewRoman" w:hAnsi="TimesNewRoman" w:cs="TimesNewRoman"/>
          <w:i/>
        </w:rPr>
        <w:t>the</w:t>
      </w:r>
      <w:proofErr w:type="gramEnd"/>
      <w:r w:rsidRPr="00821A40">
        <w:rPr>
          <w:rFonts w:ascii="TimesNewRoman" w:hAnsi="TimesNewRoman" w:cs="TimesNewRoman"/>
          <w:i/>
        </w:rPr>
        <w:t xml:space="preserve"> person who was the relevant proprietor of it has died and six months has not elapsed since the grant of representation was obtained in respect of such person.</w:t>
      </w:r>
    </w:p>
    <w:p w:rsidR="00F77084" w:rsidRPr="00EF1F6D" w:rsidRDefault="00F77084" w:rsidP="003610E5">
      <w:pPr>
        <w:pStyle w:val="BodyTextIndent"/>
        <w:tabs>
          <w:tab w:val="left" w:pos="567"/>
        </w:tabs>
        <w:ind w:left="0" w:firstLine="0"/>
      </w:pPr>
      <w:r w:rsidRPr="00BD1835">
        <w:rPr>
          <w:rFonts w:eastAsia="Calibri" w:cs="Arial"/>
          <w:b/>
        </w:rPr>
        <w:t>Voluntary Sale</w:t>
      </w:r>
    </w:p>
    <w:p w:rsidR="00F77084" w:rsidRDefault="00F77084" w:rsidP="003610E5">
      <w:pPr>
        <w:spacing w:after="0"/>
        <w:rPr>
          <w:rFonts w:eastAsia="Calibri" w:cs="Arial"/>
          <w:b/>
          <w:color w:val="auto"/>
          <w:lang w:eastAsia="en-US"/>
        </w:rPr>
      </w:pPr>
    </w:p>
    <w:p w:rsidR="00F77084" w:rsidRPr="005929A5" w:rsidRDefault="00F77084" w:rsidP="005929A5">
      <w:pPr>
        <w:pStyle w:val="bParagraphtext"/>
        <w:rPr>
          <w:rFonts w:eastAsia="Calibri"/>
          <w:b/>
          <w:color w:val="auto"/>
          <w:lang w:eastAsia="en-US"/>
        </w:rPr>
      </w:pPr>
      <w:r w:rsidRPr="009D7E8B">
        <w:t xml:space="preserve">The </w:t>
      </w:r>
      <w:r w:rsidR="00167486">
        <w:t xml:space="preserve">Legal view is that the </w:t>
      </w:r>
      <w:r w:rsidRPr="009D7E8B">
        <w:t xml:space="preserve">property is currently in </w:t>
      </w:r>
      <w:r w:rsidR="00167486">
        <w:t>‘</w:t>
      </w:r>
      <w:r w:rsidRPr="009D7E8B">
        <w:t>unknown ownership</w:t>
      </w:r>
      <w:r w:rsidR="00167486">
        <w:t>’ due to the lack of probate</w:t>
      </w:r>
      <w:r w:rsidRPr="009D7E8B">
        <w:t>. If property is in unknown or reputed to be in unknown ownership, acquisition by agreement is impossible since there is no party the Council can negotiate with and no party who could execute a deed to transfer title.</w:t>
      </w:r>
    </w:p>
    <w:p w:rsidR="005811D2" w:rsidRDefault="005811D2" w:rsidP="003610E5">
      <w:pPr>
        <w:pStyle w:val="Header"/>
        <w:tabs>
          <w:tab w:val="clear" w:pos="4153"/>
          <w:tab w:val="clear" w:pos="8306"/>
          <w:tab w:val="left" w:pos="567"/>
        </w:tabs>
        <w:spacing w:after="0"/>
        <w:rPr>
          <w:b/>
          <w:sz w:val="24"/>
        </w:rPr>
      </w:pPr>
      <w:r w:rsidRPr="005811D2">
        <w:rPr>
          <w:b/>
          <w:sz w:val="24"/>
        </w:rPr>
        <w:t>Compulsory Purchase Order</w:t>
      </w:r>
    </w:p>
    <w:p w:rsidR="003610E5" w:rsidRDefault="003610E5" w:rsidP="003610E5">
      <w:pPr>
        <w:pStyle w:val="Header"/>
        <w:tabs>
          <w:tab w:val="clear" w:pos="4153"/>
          <w:tab w:val="clear" w:pos="8306"/>
          <w:tab w:val="left" w:pos="567"/>
        </w:tabs>
        <w:spacing w:after="0"/>
        <w:rPr>
          <w:b/>
          <w:sz w:val="24"/>
        </w:rPr>
      </w:pPr>
    </w:p>
    <w:p w:rsidR="000736E0" w:rsidRPr="005929A5" w:rsidRDefault="00F77084" w:rsidP="005929A5">
      <w:pPr>
        <w:pStyle w:val="bParagraphtext"/>
        <w:rPr>
          <w:lang w:val="en-US"/>
        </w:rPr>
      </w:pPr>
      <w:r w:rsidRPr="000D24FA">
        <w:rPr>
          <w:lang w:val="en-US"/>
        </w:rPr>
        <w:t xml:space="preserve">The most appropriate way of securing continued housing use for this site </w:t>
      </w:r>
      <w:r w:rsidRPr="000D24FA">
        <w:t>is by the making of a Compulsory Purchase Order.  Upon the approval of the CPO the property will be presented for disposal by either agent or auction.</w:t>
      </w:r>
      <w:r w:rsidR="00167486">
        <w:t xml:space="preserve"> Alternatively</w:t>
      </w:r>
      <w:r w:rsidR="00FA64EA">
        <w:t xml:space="preserve">, the </w:t>
      </w:r>
      <w:r w:rsidR="00B113BB">
        <w:t>Council may</w:t>
      </w:r>
      <w:r w:rsidR="00167486">
        <w:t xml:space="preserve"> decide that once acquired the property is transferred at </w:t>
      </w:r>
      <w:r w:rsidR="003610E5">
        <w:t>open market value</w:t>
      </w:r>
      <w:r w:rsidR="00167486">
        <w:t xml:space="preserve"> to the Council’s Housing Company. </w:t>
      </w:r>
      <w:r w:rsidRPr="000D24FA">
        <w:t xml:space="preserve"> </w:t>
      </w:r>
    </w:p>
    <w:p w:rsidR="0040736F" w:rsidRDefault="002329CF" w:rsidP="003610E5">
      <w:pPr>
        <w:pStyle w:val="Heading1"/>
        <w:spacing w:before="0" w:after="0"/>
      </w:pPr>
      <w:r w:rsidRPr="001356F1">
        <w:t>Financial implications</w:t>
      </w:r>
    </w:p>
    <w:p w:rsidR="003610E5" w:rsidRPr="003610E5" w:rsidRDefault="003610E5" w:rsidP="005F01DE">
      <w:pPr>
        <w:spacing w:after="0"/>
      </w:pPr>
    </w:p>
    <w:p w:rsidR="000D24FA" w:rsidRPr="000D24FA" w:rsidRDefault="00BC7033" w:rsidP="00093B1C">
      <w:pPr>
        <w:pStyle w:val="bParagraphtext"/>
        <w:rPr>
          <w:rFonts w:cs="Arial"/>
          <w:bCs/>
        </w:rPr>
      </w:pPr>
      <w:r>
        <w:t xml:space="preserve">A budget will need to be allocated to cover the costs associated with </w:t>
      </w:r>
      <w:r w:rsidR="00167486">
        <w:t>acquisition of the subject property by CPO</w:t>
      </w:r>
      <w:r w:rsidR="0007739A">
        <w:t>,</w:t>
      </w:r>
      <w:r w:rsidR="00167486">
        <w:t xml:space="preserve"> or by agreement.</w:t>
      </w:r>
      <w:r w:rsidR="0007739A">
        <w:t xml:space="preserve">  The actual acquisition costs are expected to be recovered from the proceeds of the property disposal.</w:t>
      </w:r>
    </w:p>
    <w:p w:rsidR="000D24FA" w:rsidRPr="000D24FA" w:rsidRDefault="000D24FA" w:rsidP="003610E5">
      <w:pPr>
        <w:pStyle w:val="ListParagraph"/>
        <w:numPr>
          <w:ilvl w:val="0"/>
          <w:numId w:val="0"/>
        </w:numPr>
        <w:spacing w:after="0"/>
        <w:ind w:hanging="425"/>
        <w:rPr>
          <w:rFonts w:cs="Arial"/>
          <w:bCs/>
        </w:rPr>
      </w:pPr>
    </w:p>
    <w:p w:rsidR="000D24FA" w:rsidRPr="000D24FA" w:rsidRDefault="00C8449D" w:rsidP="006421D9">
      <w:pPr>
        <w:pStyle w:val="bParagraphtext"/>
      </w:pPr>
      <w:r w:rsidRPr="000D24FA">
        <w:t xml:space="preserve">A guide to the potential cost of a CPO for an </w:t>
      </w:r>
      <w:r w:rsidR="00507B29">
        <w:t>individual property is listed (</w:t>
      </w:r>
      <w:r w:rsidR="0045532D">
        <w:t>Appendix</w:t>
      </w:r>
      <w:r w:rsidRPr="000D24FA">
        <w:t xml:space="preserve"> </w:t>
      </w:r>
      <w:r w:rsidR="0068455E">
        <w:t>C</w:t>
      </w:r>
      <w:r w:rsidR="00507B29">
        <w:t>)</w:t>
      </w:r>
      <w:r w:rsidRPr="000D24FA">
        <w:t>.  An indicative valuation for the subject property is also included within this cost guide</w:t>
      </w:r>
      <w:r w:rsidR="00931E99">
        <w:t xml:space="preserve"> as provided by the Valuation Office</w:t>
      </w:r>
      <w:r w:rsidRPr="000D24FA">
        <w:t xml:space="preserve">. The </w:t>
      </w:r>
      <w:r w:rsidR="0045532D">
        <w:t>Appendix</w:t>
      </w:r>
      <w:r w:rsidRPr="000D24FA">
        <w:t xml:space="preserve"> presents costs of various options relating to the CPO process. This </w:t>
      </w:r>
      <w:r w:rsidR="0045532D">
        <w:t>Appendix</w:t>
      </w:r>
      <w:r w:rsidRPr="000D24FA">
        <w:t xml:space="preserve"> is excluded from publication as it contains commercially sensitive information.</w:t>
      </w:r>
    </w:p>
    <w:p w:rsidR="003610E5" w:rsidRPr="006421D9" w:rsidRDefault="0007739A" w:rsidP="006421D9">
      <w:pPr>
        <w:pStyle w:val="bParagraphtext"/>
        <w:rPr>
          <w:iCs/>
        </w:rPr>
      </w:pPr>
      <w:r>
        <w:rPr>
          <w:iCs/>
        </w:rPr>
        <w:lastRenderedPageBreak/>
        <w:t xml:space="preserve">The </w:t>
      </w:r>
      <w:r w:rsidR="009B7899">
        <w:rPr>
          <w:iCs/>
        </w:rPr>
        <w:t>Council</w:t>
      </w:r>
      <w:r>
        <w:rPr>
          <w:iCs/>
        </w:rPr>
        <w:t xml:space="preserve"> has sufficient funding for the asset purchase and incidental costs of acquisition, of this property, allocated in the </w:t>
      </w:r>
      <w:r w:rsidR="00507B29">
        <w:rPr>
          <w:iCs/>
        </w:rPr>
        <w:t>2016/17</w:t>
      </w:r>
      <w:r w:rsidR="00C8449D" w:rsidRPr="000D24FA">
        <w:rPr>
          <w:iCs/>
        </w:rPr>
        <w:t xml:space="preserve"> approved capital programme.</w:t>
      </w:r>
    </w:p>
    <w:p w:rsidR="00587B60" w:rsidRPr="00587B60" w:rsidRDefault="00C8449D" w:rsidP="006421D9">
      <w:pPr>
        <w:pStyle w:val="bParagraphtext"/>
      </w:pPr>
      <w:r w:rsidRPr="000D24FA">
        <w:rPr>
          <w:iCs/>
        </w:rPr>
        <w:t>Re</w:t>
      </w:r>
      <w:r w:rsidR="009D5CF5">
        <w:rPr>
          <w:iCs/>
        </w:rPr>
        <w:t>venue costs are also required</w:t>
      </w:r>
      <w:r w:rsidR="00821A40">
        <w:rPr>
          <w:iCs/>
        </w:rPr>
        <w:t>.</w:t>
      </w:r>
      <w:r w:rsidRPr="000D24FA">
        <w:rPr>
          <w:iCs/>
        </w:rPr>
        <w:t xml:space="preserve">  These </w:t>
      </w:r>
      <w:r w:rsidR="00507B29">
        <w:rPr>
          <w:iCs/>
        </w:rPr>
        <w:t xml:space="preserve">costs </w:t>
      </w:r>
      <w:r w:rsidRPr="000D24FA">
        <w:rPr>
          <w:iCs/>
        </w:rPr>
        <w:t xml:space="preserve">could range from being cost neutral (under the preferred disposal model) to a maximum amount of £50,000 should a CPO be obtained through the Public Inquiry route, with all possible compensations having to be paid.  Costs can be contained within existing Housing and Property budget provision. </w:t>
      </w:r>
    </w:p>
    <w:p w:rsidR="00FF38FB" w:rsidRDefault="00C8449D" w:rsidP="00093B1C">
      <w:pPr>
        <w:pStyle w:val="bParagraphtext"/>
      </w:pPr>
      <w:r w:rsidRPr="000D24FA">
        <w:t xml:space="preserve">In addition to bringing much needed accommodation back into use within the city the </w:t>
      </w:r>
      <w:r w:rsidR="0045532D">
        <w:t>Council’s</w:t>
      </w:r>
      <w:r w:rsidRPr="000D24FA">
        <w:t xml:space="preserve"> Empty Homes </w:t>
      </w:r>
      <w:r w:rsidR="009B7899">
        <w:t>Strategy</w:t>
      </w:r>
      <w:r w:rsidRPr="000D24FA">
        <w:t xml:space="preserve"> has a positive financial effect on the council</w:t>
      </w:r>
      <w:r w:rsidR="00FF38FB">
        <w:t>.</w:t>
      </w:r>
    </w:p>
    <w:p w:rsidR="00C8449D" w:rsidRPr="00FF38FB" w:rsidRDefault="00FF38FB" w:rsidP="00093B1C">
      <w:pPr>
        <w:pStyle w:val="bParagraphtext"/>
      </w:pPr>
      <w:r w:rsidRPr="00FF38FB">
        <w:t>Council tax would become payable which for a band C property such as this would be around £1,542 per annum subject to any occupational discounts that may apply. Additionall</w:t>
      </w:r>
      <w:r>
        <w:t>y</w:t>
      </w:r>
      <w:r w:rsidRPr="00FF38FB">
        <w:t xml:space="preserve">, New Homes Bonus would be paid by the Government </w:t>
      </w:r>
      <w:r w:rsidR="00FC0496">
        <w:t>(</w:t>
      </w:r>
      <w:r w:rsidRPr="00FF38FB">
        <w:t>currently for a period of 6 years</w:t>
      </w:r>
      <w:r w:rsidR="00FC0496">
        <w:t>) but equating to a contribution of £6,168 in the four years of the current Medium Term Financial Plan.</w:t>
      </w:r>
    </w:p>
    <w:p w:rsidR="00FF38FB" w:rsidRDefault="00FF38FB" w:rsidP="00FF38FB">
      <w:pPr>
        <w:pStyle w:val="Header"/>
        <w:tabs>
          <w:tab w:val="clear" w:pos="4153"/>
          <w:tab w:val="clear" w:pos="8306"/>
          <w:tab w:val="left" w:pos="0"/>
        </w:tabs>
        <w:spacing w:after="0"/>
        <w:rPr>
          <w:b/>
          <w:sz w:val="24"/>
        </w:rPr>
      </w:pPr>
    </w:p>
    <w:p w:rsidR="00F77084" w:rsidRDefault="00F77084" w:rsidP="003610E5">
      <w:pPr>
        <w:pStyle w:val="Header"/>
        <w:tabs>
          <w:tab w:val="clear" w:pos="4153"/>
          <w:tab w:val="clear" w:pos="8306"/>
          <w:tab w:val="left" w:pos="0"/>
        </w:tabs>
        <w:spacing w:after="0"/>
        <w:rPr>
          <w:b/>
          <w:sz w:val="24"/>
        </w:rPr>
      </w:pPr>
      <w:r w:rsidRPr="008555A3">
        <w:rPr>
          <w:b/>
          <w:sz w:val="24"/>
        </w:rPr>
        <w:t>Disposal Options</w:t>
      </w:r>
    </w:p>
    <w:p w:rsidR="00587B60" w:rsidRPr="008555A3" w:rsidRDefault="00587B60" w:rsidP="003610E5">
      <w:pPr>
        <w:pStyle w:val="Header"/>
        <w:tabs>
          <w:tab w:val="clear" w:pos="4153"/>
          <w:tab w:val="clear" w:pos="8306"/>
          <w:tab w:val="left" w:pos="0"/>
        </w:tabs>
        <w:spacing w:after="0"/>
        <w:rPr>
          <w:b/>
          <w:sz w:val="24"/>
        </w:rPr>
      </w:pPr>
    </w:p>
    <w:p w:rsidR="00587B60" w:rsidRPr="00093B1C" w:rsidRDefault="00F77084" w:rsidP="00093B1C">
      <w:pPr>
        <w:pStyle w:val="bParagraphtext"/>
        <w:rPr>
          <w:rFonts w:cs="Arial"/>
        </w:rPr>
      </w:pPr>
      <w:r>
        <w:t xml:space="preserve">Under </w:t>
      </w:r>
      <w:r w:rsidR="00CE523C">
        <w:t xml:space="preserve">the Local Government Act 1972 </w:t>
      </w:r>
      <w:r>
        <w:t>s</w:t>
      </w:r>
      <w:r w:rsidR="00CE523C">
        <w:t>ection 123 requires</w:t>
      </w:r>
      <w:r>
        <w:t xml:space="preserve"> the Council to obtain the best price possible if it disposes of any interest in land</w:t>
      </w:r>
      <w:r w:rsidR="00CE523C">
        <w:t xml:space="preserve"> or property</w:t>
      </w:r>
      <w:r>
        <w:t>.</w:t>
      </w:r>
      <w:r w:rsidR="008555A3">
        <w:t xml:space="preserve"> </w:t>
      </w:r>
      <w:r>
        <w:t>W</w:t>
      </w:r>
      <w:r w:rsidRPr="008555A3">
        <w:rPr>
          <w:rFonts w:cs="Arial"/>
        </w:rPr>
        <w:t xml:space="preserve">here it proves necessary for the Council to compulsorily acquire a </w:t>
      </w:r>
      <w:r w:rsidR="00CE523C">
        <w:rPr>
          <w:rFonts w:cs="Arial"/>
        </w:rPr>
        <w:t xml:space="preserve">dwelling </w:t>
      </w:r>
      <w:r w:rsidRPr="008555A3">
        <w:rPr>
          <w:rFonts w:cs="Arial"/>
        </w:rPr>
        <w:t>house there are a number of options available to then deal with it. These include the following:</w:t>
      </w:r>
    </w:p>
    <w:p w:rsidR="008039D9" w:rsidRPr="00093B1C" w:rsidRDefault="00F77084" w:rsidP="00093B1C">
      <w:pPr>
        <w:pStyle w:val="bParagraphtext"/>
        <w:numPr>
          <w:ilvl w:val="0"/>
          <w:numId w:val="0"/>
        </w:numPr>
        <w:ind w:left="426"/>
        <w:rPr>
          <w:rFonts w:cs="Arial"/>
          <w:u w:val="single"/>
        </w:rPr>
      </w:pPr>
      <w:r w:rsidRPr="00EF1F6D">
        <w:rPr>
          <w:rFonts w:cs="Arial"/>
          <w:u w:val="single"/>
        </w:rPr>
        <w:t>Disposal of the property at auction or on the open market</w:t>
      </w:r>
    </w:p>
    <w:p w:rsidR="00587B60" w:rsidRDefault="00F77084" w:rsidP="00093B1C">
      <w:pPr>
        <w:pStyle w:val="bParagraphtext"/>
        <w:rPr>
          <w:rFonts w:cs="Arial"/>
        </w:rPr>
      </w:pPr>
      <w:r w:rsidRPr="00EF1F6D">
        <w:rPr>
          <w:rFonts w:cs="Arial"/>
        </w:rPr>
        <w:t xml:space="preserve">The Council would seek to sell the property as soon as reasonably practicable.  The sale value would be expected to represent the market value, and this would be the sum expected to be paid in the compensation claim to the owner. </w:t>
      </w:r>
    </w:p>
    <w:p w:rsidR="008039D9" w:rsidRPr="00093B1C" w:rsidRDefault="000A2849" w:rsidP="00093B1C">
      <w:pPr>
        <w:pStyle w:val="bParagraphtext"/>
        <w:numPr>
          <w:ilvl w:val="0"/>
          <w:numId w:val="0"/>
        </w:numPr>
        <w:ind w:left="426"/>
        <w:rPr>
          <w:u w:val="single"/>
        </w:rPr>
      </w:pPr>
      <w:r w:rsidRPr="00EF1F6D">
        <w:rPr>
          <w:u w:val="single"/>
        </w:rPr>
        <w:t>Housing Company</w:t>
      </w:r>
    </w:p>
    <w:p w:rsidR="000736E0" w:rsidRPr="005929A5" w:rsidRDefault="00C25CD0" w:rsidP="005929A5">
      <w:pPr>
        <w:pStyle w:val="bParagraphtext"/>
        <w:rPr>
          <w:rFonts w:cs="Arial"/>
        </w:rPr>
      </w:pPr>
      <w:r>
        <w:t xml:space="preserve">The Council may also consider </w:t>
      </w:r>
      <w:r w:rsidR="00BB24EC">
        <w:t xml:space="preserve">financially modelling </w:t>
      </w:r>
      <w:r>
        <w:t xml:space="preserve">the option whereby the </w:t>
      </w:r>
      <w:r w:rsidR="00BB24EC">
        <w:t xml:space="preserve">Council’s </w:t>
      </w:r>
      <w:r>
        <w:t xml:space="preserve">new housing company </w:t>
      </w:r>
      <w:r w:rsidR="00BB24EC">
        <w:t xml:space="preserve">receives approval to </w:t>
      </w:r>
      <w:r>
        <w:t xml:space="preserve">take ownership of the property </w:t>
      </w:r>
      <w:r w:rsidR="00BB24EC">
        <w:t xml:space="preserve">in question </w:t>
      </w:r>
      <w:r>
        <w:t>at a</w:t>
      </w:r>
      <w:r w:rsidR="00BB24EC">
        <w:t>n appropriate</w:t>
      </w:r>
      <w:r>
        <w:t xml:space="preserve"> price that allows the necessary work to be carried out </w:t>
      </w:r>
      <w:r w:rsidR="00BB24EC">
        <w:t>to</w:t>
      </w:r>
      <w:r>
        <w:t xml:space="preserve"> the property </w:t>
      </w:r>
      <w:r w:rsidR="00BB24EC">
        <w:t xml:space="preserve">so that it can be </w:t>
      </w:r>
      <w:r>
        <w:t>to be brought back into use</w:t>
      </w:r>
      <w:r w:rsidR="00BB24EC">
        <w:t>,</w:t>
      </w:r>
      <w:r>
        <w:t xml:space="preserve"> and let or sold</w:t>
      </w:r>
      <w:r w:rsidR="00BA15E8">
        <w:t>.</w:t>
      </w:r>
      <w:r w:rsidR="00BB24EC">
        <w:t xml:space="preserve">  All options under the Housing Company proposal should ensure associated borrowing, management, supervision costs, and incidental costs of acquisition and disposal are covered.</w:t>
      </w:r>
    </w:p>
    <w:p w:rsidR="008039D9" w:rsidRDefault="00DA614B" w:rsidP="005929A5">
      <w:pPr>
        <w:pStyle w:val="Heading1"/>
        <w:spacing w:before="0" w:after="0"/>
      </w:pPr>
      <w:r w:rsidRPr="001356F1">
        <w:t>Legal issues</w:t>
      </w:r>
      <w:r w:rsidR="009D5CF5">
        <w:t xml:space="preserve"> </w:t>
      </w:r>
    </w:p>
    <w:p w:rsidR="005929A5" w:rsidRPr="005929A5" w:rsidRDefault="005929A5" w:rsidP="005929A5"/>
    <w:p w:rsidR="004B1694" w:rsidRDefault="004B1694" w:rsidP="003610E5">
      <w:pPr>
        <w:pStyle w:val="Default"/>
        <w:tabs>
          <w:tab w:val="left" w:pos="426"/>
          <w:tab w:val="left" w:pos="567"/>
        </w:tabs>
        <w:rPr>
          <w:b/>
        </w:rPr>
      </w:pPr>
      <w:r>
        <w:rPr>
          <w:b/>
        </w:rPr>
        <w:t>Housing Act 1985 Section 17</w:t>
      </w:r>
    </w:p>
    <w:p w:rsidR="00EF1F6D" w:rsidRDefault="00EF1F6D" w:rsidP="003610E5">
      <w:pPr>
        <w:pStyle w:val="Default"/>
        <w:tabs>
          <w:tab w:val="left" w:pos="426"/>
          <w:tab w:val="left" w:pos="567"/>
        </w:tabs>
        <w:rPr>
          <w:b/>
        </w:rPr>
      </w:pPr>
    </w:p>
    <w:p w:rsidR="008039D9" w:rsidRPr="003610E5" w:rsidRDefault="004B1694" w:rsidP="00093B1C">
      <w:pPr>
        <w:pStyle w:val="bParagraphtext"/>
      </w:pPr>
      <w:r w:rsidRPr="003610E5">
        <w:t>A local authority can acquire: A house or houses for the provision of improvement of housing accommodation (whether by itself or someone else); Land to be developed by the provision of housing (whether by itself or someone else) The CPO must achieve a quantitative or qualitative housing gain or the assembly of housing land/bringing empty homes back into use or improving sub-standard housing</w:t>
      </w:r>
      <w:r w:rsidR="008039D9">
        <w:t>.</w:t>
      </w:r>
    </w:p>
    <w:p w:rsidR="008039D9" w:rsidRDefault="00F77084" w:rsidP="00093B1C">
      <w:pPr>
        <w:pStyle w:val="bParagraphtext"/>
      </w:pPr>
      <w:r>
        <w:lastRenderedPageBreak/>
        <w:t xml:space="preserve">The Council has the power </w:t>
      </w:r>
      <w:r w:rsidR="00CE523C">
        <w:t xml:space="preserve">for </w:t>
      </w:r>
      <w:r w:rsidRPr="008555A3">
        <w:rPr>
          <w:bCs/>
        </w:rPr>
        <w:t>Compulsory Purchase Order</w:t>
      </w:r>
      <w:r w:rsidR="00CE523C">
        <w:rPr>
          <w:bCs/>
        </w:rPr>
        <w:t>s to be created</w:t>
      </w:r>
      <w:r w:rsidRPr="008555A3">
        <w:rPr>
          <w:bCs/>
        </w:rPr>
        <w:t xml:space="preserve"> pursuant to</w:t>
      </w:r>
      <w:r w:rsidR="00CE523C">
        <w:rPr>
          <w:bCs/>
        </w:rPr>
        <w:t xml:space="preserve"> the </w:t>
      </w:r>
      <w:r w:rsidR="00CE523C" w:rsidRPr="008555A3">
        <w:rPr>
          <w:rStyle w:val="Strong"/>
          <w:rFonts w:cs="Arial"/>
          <w:b w:val="0"/>
          <w:color w:val="auto"/>
          <w:lang w:val="en"/>
        </w:rPr>
        <w:t>Housing</w:t>
      </w:r>
      <w:r w:rsidR="00CE523C" w:rsidRPr="008555A3">
        <w:rPr>
          <w:b/>
          <w:lang w:val="en"/>
        </w:rPr>
        <w:t xml:space="preserve"> </w:t>
      </w:r>
      <w:r w:rsidR="00CE523C" w:rsidRPr="00CE523C">
        <w:rPr>
          <w:rStyle w:val="Strong"/>
          <w:rFonts w:cs="Arial"/>
          <w:b w:val="0"/>
          <w:color w:val="auto"/>
          <w:lang w:val="en"/>
        </w:rPr>
        <w:t>Act</w:t>
      </w:r>
      <w:r w:rsidR="00CE523C" w:rsidRPr="00CE523C">
        <w:rPr>
          <w:b/>
          <w:lang w:val="en"/>
        </w:rPr>
        <w:t xml:space="preserve"> </w:t>
      </w:r>
      <w:r w:rsidR="00CE523C" w:rsidRPr="00CE523C">
        <w:rPr>
          <w:lang w:val="en"/>
        </w:rPr>
        <w:t>1985</w:t>
      </w:r>
      <w:r w:rsidR="00CE523C" w:rsidRPr="00CE523C">
        <w:rPr>
          <w:bCs/>
        </w:rPr>
        <w:t xml:space="preserve"> </w:t>
      </w:r>
      <w:r w:rsidRPr="00CE523C">
        <w:rPr>
          <w:bCs/>
        </w:rPr>
        <w:t xml:space="preserve">section </w:t>
      </w:r>
      <w:r w:rsidRPr="00CE523C">
        <w:rPr>
          <w:lang w:val="en"/>
        </w:rPr>
        <w:t>17</w:t>
      </w:r>
      <w:r w:rsidR="00CE523C">
        <w:t xml:space="preserve">, which permits the Council </w:t>
      </w:r>
      <w:r>
        <w:t xml:space="preserve">to acquire </w:t>
      </w:r>
      <w:r w:rsidR="00951532">
        <w:t xml:space="preserve">empty dwellings for the purpose of </w:t>
      </w:r>
      <w:r w:rsidR="008555A3">
        <w:t>housing provision</w:t>
      </w:r>
      <w:r w:rsidR="00CE523C">
        <w:t xml:space="preserve"> under a CPO</w:t>
      </w:r>
      <w:r w:rsidR="00951532">
        <w:t>.</w:t>
      </w:r>
      <w:r>
        <w:t xml:space="preserve"> The main supporting legislation includes the</w:t>
      </w:r>
      <w:r w:rsidR="00CE523C">
        <w:t xml:space="preserve"> Acquisition of Land Act 1981 (Compulsory Purchase procedure), T</w:t>
      </w:r>
      <w:r>
        <w:t xml:space="preserve">he Compulsory Purchase Act 1965 (post confirmation procedure) and the Land Compensation Act 1961 (amount and assessment of compensation). The Secretary of State applies </w:t>
      </w:r>
      <w:r w:rsidR="00CE523C">
        <w:t xml:space="preserve">a ‘Test’ </w:t>
      </w:r>
      <w:r>
        <w:t>in deciding if a CPO should be confirmed</w:t>
      </w:r>
      <w:r w:rsidR="00CE523C">
        <w:t>:</w:t>
      </w:r>
      <w:r>
        <w:t xml:space="preserve"> i</w:t>
      </w:r>
      <w:r w:rsidR="00CE523C">
        <w:t>n</w:t>
      </w:r>
      <w:r>
        <w:t xml:space="preserve"> that of a compelling case in the public interest. It is considered that such a case is made here</w:t>
      </w:r>
      <w:r w:rsidR="00CE523C">
        <w:t xml:space="preserve"> for the subject property</w:t>
      </w:r>
      <w:r>
        <w:t>. A CPO interferes with the human rights of the landowner. However if the “compelling case” test is met, so too will interference with human rights be considered to be proportionate.</w:t>
      </w:r>
      <w:r w:rsidR="00CE523C">
        <w:t xml:space="preserve"> In this case of course the property owner is unknown following the death of the former owner.</w:t>
      </w:r>
    </w:p>
    <w:p w:rsidR="008039D9" w:rsidRDefault="00F77084" w:rsidP="00093B1C">
      <w:pPr>
        <w:pStyle w:val="bParagraphtext"/>
      </w:pPr>
      <w:r>
        <w:t xml:space="preserve">The Compulsory Purchase Order must be advertised locally and copies served on </w:t>
      </w:r>
      <w:r w:rsidR="00CE523C">
        <w:t>‘</w:t>
      </w:r>
      <w:r>
        <w:t>qualifying parties</w:t>
      </w:r>
      <w:r w:rsidR="00CE523C">
        <w:t>’</w:t>
      </w:r>
      <w:r w:rsidR="00951532">
        <w:t xml:space="preserve"> and the </w:t>
      </w:r>
      <w:r w:rsidR="00CE523C">
        <w:t>‘</w:t>
      </w:r>
      <w:r w:rsidR="00951532">
        <w:t>unknown owner</w:t>
      </w:r>
      <w:r w:rsidR="00CE523C">
        <w:t>’</w:t>
      </w:r>
      <w:r w:rsidR="00951532">
        <w:t xml:space="preserve"> at the </w:t>
      </w:r>
      <w:r w:rsidR="00CE523C">
        <w:t xml:space="preserve">subject </w:t>
      </w:r>
      <w:r w:rsidR="00951532">
        <w:t>property</w:t>
      </w:r>
      <w:r>
        <w:t xml:space="preserve">.  An objection can be raised by any </w:t>
      </w:r>
      <w:r w:rsidR="00CE523C">
        <w:t>‘</w:t>
      </w:r>
      <w:r>
        <w:t>statutory objector</w:t>
      </w:r>
      <w:r w:rsidR="00CE523C">
        <w:t>’</w:t>
      </w:r>
      <w:r>
        <w:t xml:space="preserve"> during the stipulated period. If such an objection is received and not withdrawn during the stipulated period the Secretary of State may cause</w:t>
      </w:r>
      <w:r w:rsidR="00CE523C">
        <w:t xml:space="preserve"> a Public L</w:t>
      </w:r>
      <w:r w:rsidRPr="00926B9D">
        <w:t>o</w:t>
      </w:r>
      <w:r w:rsidR="00CE523C">
        <w:t>cal I</w:t>
      </w:r>
      <w:r w:rsidRPr="00926B9D">
        <w:t xml:space="preserve">nquiry to be </w:t>
      </w:r>
      <w:r>
        <w:t xml:space="preserve">held. This </w:t>
      </w:r>
      <w:r w:rsidRPr="00926B9D">
        <w:t>affords</w:t>
      </w:r>
      <w:r>
        <w:t xml:space="preserve"> the objector an opportunity to be heard and </w:t>
      </w:r>
      <w:r w:rsidRPr="00926B9D">
        <w:t xml:space="preserve">appear before a person appointed by the Secretary of </w:t>
      </w:r>
      <w:r>
        <w:t xml:space="preserve">State. </w:t>
      </w:r>
      <w:r w:rsidR="00951532">
        <w:t xml:space="preserve">Alternatively the objector may opt for the </w:t>
      </w:r>
      <w:r w:rsidR="00951532" w:rsidRPr="00926B9D">
        <w:t>written representation</w:t>
      </w:r>
      <w:r w:rsidR="00CE523C">
        <w:t>’</w:t>
      </w:r>
      <w:r w:rsidR="00951532" w:rsidRPr="00926B9D">
        <w:t xml:space="preserve">s </w:t>
      </w:r>
      <w:r w:rsidR="00951532">
        <w:t xml:space="preserve">procedure. The Secretary of State would then consider his findings before </w:t>
      </w:r>
      <w:r w:rsidR="00951532" w:rsidRPr="00926B9D">
        <w:t>determining whether or not to</w:t>
      </w:r>
      <w:r w:rsidR="00951532">
        <w:t xml:space="preserve"> </w:t>
      </w:r>
      <w:r w:rsidR="00951532" w:rsidRPr="00926B9D">
        <w:t>confirm, quash or modify the Order.</w:t>
      </w:r>
    </w:p>
    <w:p w:rsidR="008039D9" w:rsidRDefault="00F77084" w:rsidP="00093B1C">
      <w:pPr>
        <w:pStyle w:val="bParagraphtext"/>
      </w:pPr>
      <w:r>
        <w:t>In the event that there is no objection, the Secretary of State may, in certain circumstances, permit the Council to confirm the Order. The confirmation of the Order may be challenged on a point of law within 6 weeks of the publication of such confirmation. Any dispute as to the amount of compensation to be paid is referred for determination by the Upper Tribunal (Lands Chamber).</w:t>
      </w:r>
    </w:p>
    <w:p w:rsidR="0068408D" w:rsidRPr="0068408D" w:rsidRDefault="00F77084" w:rsidP="00093B1C">
      <w:pPr>
        <w:pStyle w:val="bParagraphtext"/>
      </w:pPr>
      <w:r>
        <w:t xml:space="preserve">The Council is obliged to act in a way which is compatible with the European Convention on Human Rights. A number of other local authorities regularly utilise their CPO powers in a similar fashion and the issue has been </w:t>
      </w:r>
      <w:r w:rsidR="00CE523C">
        <w:t>extensively tested through the C</w:t>
      </w:r>
      <w:r>
        <w:t>ourt</w:t>
      </w:r>
      <w:r w:rsidR="00BA72B4">
        <w:t>s.</w:t>
      </w:r>
    </w:p>
    <w:p w:rsidR="00B861B0" w:rsidRDefault="0068408D" w:rsidP="00093B1C">
      <w:pPr>
        <w:pStyle w:val="bParagraphtext"/>
      </w:pPr>
      <w:r>
        <w:t>Whilst</w:t>
      </w:r>
      <w:r w:rsidR="00BA72B4" w:rsidRPr="005D271F">
        <w:t xml:space="preserve"> the </w:t>
      </w:r>
      <w:r w:rsidR="005D271F" w:rsidRPr="005D271F">
        <w:t xml:space="preserve">property is in unknown </w:t>
      </w:r>
      <w:r w:rsidR="00BA72B4" w:rsidRPr="005D271F">
        <w:t>owner</w:t>
      </w:r>
      <w:r w:rsidR="005D271F" w:rsidRPr="005D271F">
        <w:t>ship</w:t>
      </w:r>
      <w:r w:rsidR="00BA72B4" w:rsidRPr="005D271F">
        <w:t>, the</w:t>
      </w:r>
      <w:r w:rsidR="005D271F" w:rsidRPr="005D271F">
        <w:t xml:space="preserve"> </w:t>
      </w:r>
      <w:r w:rsidR="00BA72B4" w:rsidRPr="005D271F">
        <w:t>proceeds of sale if unclaimed under the compulsory purchase compensation</w:t>
      </w:r>
      <w:r w:rsidR="005D271F" w:rsidRPr="005D271F">
        <w:t xml:space="preserve"> </w:t>
      </w:r>
      <w:r w:rsidR="00BA72B4" w:rsidRPr="005D271F">
        <w:t>code will be paid/deposited in court in accordance with the code and</w:t>
      </w:r>
      <w:r w:rsidR="005D271F" w:rsidRPr="005D271F">
        <w:t xml:space="preserve"> </w:t>
      </w:r>
      <w:r w:rsidR="00BA72B4" w:rsidRPr="005D271F">
        <w:t>generally, if there is no claim within the six year statutory limitation period the</w:t>
      </w:r>
      <w:r w:rsidR="005D271F" w:rsidRPr="005D271F">
        <w:t xml:space="preserve"> </w:t>
      </w:r>
      <w:r w:rsidR="00BA72B4" w:rsidRPr="005D271F">
        <w:t>monies are returned to the Council.</w:t>
      </w:r>
    </w:p>
    <w:p w:rsidR="00B861B0" w:rsidRDefault="00B861B0" w:rsidP="00093B1C">
      <w:pPr>
        <w:pStyle w:val="bParagraphtext"/>
      </w:pPr>
      <w:r>
        <w:t xml:space="preserve">There is a distinct possibility </w:t>
      </w:r>
      <w:r w:rsidR="004B41A6">
        <w:t>during the CPO process, for</w:t>
      </w:r>
      <w:r>
        <w:t xml:space="preserve"> the deceased owner’s son to present his late mother’s estate for probate</w:t>
      </w:r>
      <w:r w:rsidR="004B41A6">
        <w:t xml:space="preserve">. </w:t>
      </w:r>
      <w:r w:rsidR="0068408D">
        <w:t xml:space="preserve">Ownership of the dwelling will be apparent following completion of probate. </w:t>
      </w:r>
      <w:r w:rsidR="004B41A6">
        <w:t>The Council will continue its pursuance of the order to ensure that the property is ultimately occupied</w:t>
      </w:r>
      <w:r w:rsidR="003E4B5C">
        <w:t xml:space="preserve"> although the option of voluntary sale will be explored in this eventuality.</w:t>
      </w:r>
    </w:p>
    <w:p w:rsidR="008039D9" w:rsidRPr="001356F1" w:rsidRDefault="008039D9" w:rsidP="004B41A6">
      <w:pPr>
        <w:pStyle w:val="ListParagraph"/>
        <w:numPr>
          <w:ilvl w:val="0"/>
          <w:numId w:val="0"/>
        </w:numPr>
        <w:spacing w:after="0"/>
        <w:ind w:left="426"/>
      </w:pPr>
    </w:p>
    <w:p w:rsidR="002329CF" w:rsidRDefault="002329CF" w:rsidP="001332C6">
      <w:pPr>
        <w:pStyle w:val="Heading1"/>
        <w:spacing w:before="0" w:after="0"/>
      </w:pPr>
      <w:r w:rsidRPr="001356F1">
        <w:t>Level of risk</w:t>
      </w:r>
    </w:p>
    <w:p w:rsidR="008039D9" w:rsidRDefault="008039D9" w:rsidP="003610E5">
      <w:pPr>
        <w:pStyle w:val="ListParagraph"/>
        <w:numPr>
          <w:ilvl w:val="0"/>
          <w:numId w:val="0"/>
        </w:numPr>
        <w:tabs>
          <w:tab w:val="left" w:pos="567"/>
        </w:tabs>
        <w:spacing w:after="0"/>
      </w:pPr>
    </w:p>
    <w:p w:rsidR="00F77084" w:rsidRDefault="00F77084" w:rsidP="00093B1C">
      <w:pPr>
        <w:pStyle w:val="bParagraphtext"/>
      </w:pPr>
      <w:r w:rsidRPr="008555A3">
        <w:t>A risk assessment has been undertaken and the risk re</w:t>
      </w:r>
      <w:r w:rsidR="008555A3">
        <w:t xml:space="preserve">gister is attached at </w:t>
      </w:r>
      <w:r w:rsidR="0045532D">
        <w:t>Appendix</w:t>
      </w:r>
      <w:r w:rsidR="00563660">
        <w:t xml:space="preserve"> </w:t>
      </w:r>
      <w:r w:rsidR="004B41A6">
        <w:t>D</w:t>
      </w:r>
      <w:r w:rsidRPr="008555A3">
        <w:t>. All risks have been mitigated to an acceptable level.</w:t>
      </w:r>
    </w:p>
    <w:p w:rsidR="008039D9" w:rsidRPr="003610E5" w:rsidRDefault="008039D9" w:rsidP="003610E5">
      <w:pPr>
        <w:pStyle w:val="ListParagraph"/>
        <w:numPr>
          <w:ilvl w:val="0"/>
          <w:numId w:val="0"/>
        </w:numPr>
        <w:tabs>
          <w:tab w:val="left" w:pos="567"/>
        </w:tabs>
        <w:spacing w:after="0"/>
        <w:rPr>
          <w:rFonts w:cs="Arial"/>
        </w:rPr>
      </w:pPr>
    </w:p>
    <w:p w:rsidR="002329CF" w:rsidRDefault="002329CF" w:rsidP="004B41A6">
      <w:pPr>
        <w:pStyle w:val="Heading1"/>
        <w:spacing w:before="0" w:after="0"/>
      </w:pPr>
      <w:r w:rsidRPr="001356F1">
        <w:lastRenderedPageBreak/>
        <w:t xml:space="preserve">Equalities impact </w:t>
      </w:r>
    </w:p>
    <w:p w:rsidR="008039D9" w:rsidRPr="008039D9" w:rsidRDefault="008039D9" w:rsidP="004B41A6">
      <w:pPr>
        <w:spacing w:after="0"/>
      </w:pPr>
    </w:p>
    <w:p w:rsidR="00F77084" w:rsidRDefault="00F77084" w:rsidP="00093B1C">
      <w:pPr>
        <w:pStyle w:val="bParagraphtext"/>
      </w:pPr>
      <w:r>
        <w:t>Not applicable as no adverse impacts are predicated.</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5811D2" w:rsidP="00A46E98">
            <w:r>
              <w:t>Melanie Mutch</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B7899" w:rsidP="00A46E98">
            <w:r>
              <w:t xml:space="preserve">Empty Property </w:t>
            </w:r>
            <w:r w:rsidR="00B113BB">
              <w:t>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5811D2" w:rsidP="00A46E98">
            <w:r>
              <w:t xml:space="preserve">Housing and Property </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5811D2">
            <w:r w:rsidRPr="001356F1">
              <w:t xml:space="preserve">01865 </w:t>
            </w:r>
            <w:r w:rsidR="005811D2">
              <w:t>252280</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5811D2" w:rsidP="00A46E98">
            <w:pPr>
              <w:rPr>
                <w:rStyle w:val="Hyperlink"/>
                <w:color w:val="000000"/>
              </w:rPr>
            </w:pPr>
            <w:r>
              <w:rPr>
                <w:rStyle w:val="Hyperlink"/>
                <w:color w:val="000000"/>
              </w:rPr>
              <w:t>mmutch@oxford.gov.uk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144B68">
        <w:trPr>
          <w:trHeight w:val="286"/>
        </w:trPr>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24448" w:rsidRDefault="00424448" w:rsidP="00093B1C">
      <w:pPr>
        <w:spacing w:after="0"/>
      </w:pPr>
    </w:p>
    <w:sectPr w:rsidR="00424448" w:rsidSect="000736E0">
      <w:footerReference w:type="even" r:id="rId9"/>
      <w:headerReference w:type="first" r:id="rId10"/>
      <w:footerReference w:type="first" r:id="rId11"/>
      <w:pgSz w:w="11906" w:h="16838" w:code="9"/>
      <w:pgMar w:top="1382" w:right="1440" w:bottom="1440"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14" w:rsidRDefault="00166814" w:rsidP="004A6D2F">
      <w:r>
        <w:separator/>
      </w:r>
    </w:p>
  </w:endnote>
  <w:endnote w:type="continuationSeparator" w:id="0">
    <w:p w:rsidR="00166814" w:rsidRDefault="0016681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F5" w:rsidRDefault="00C326F5" w:rsidP="004A6D2F">
    <w:pPr>
      <w:pStyle w:val="Footer"/>
    </w:pPr>
    <w:r>
      <w:t>Do not use a footer or page numbers.</w:t>
    </w:r>
  </w:p>
  <w:p w:rsidR="00C326F5" w:rsidRDefault="00C326F5" w:rsidP="004A6D2F">
    <w:pPr>
      <w:pStyle w:val="Footer"/>
    </w:pPr>
  </w:p>
  <w:p w:rsidR="00C326F5" w:rsidRDefault="00C326F5"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F5" w:rsidRDefault="00C326F5"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14" w:rsidRDefault="00166814" w:rsidP="004A6D2F">
      <w:r>
        <w:separator/>
      </w:r>
    </w:p>
  </w:footnote>
  <w:footnote w:type="continuationSeparator" w:id="0">
    <w:p w:rsidR="00166814" w:rsidRDefault="0016681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F5" w:rsidRDefault="000736E0" w:rsidP="000736E0">
    <w:pPr>
      <w:pStyle w:val="Header"/>
      <w:tabs>
        <w:tab w:val="left" w:pos="7050"/>
        <w:tab w:val="right" w:pos="9026"/>
      </w:tabs>
      <w:jc w:val="right"/>
    </w:pPr>
    <w:r>
      <w:tab/>
    </w:r>
    <w:r>
      <w:tab/>
    </w:r>
    <w:r>
      <w:tab/>
    </w:r>
    <w:r>
      <w:rPr>
        <w:noProof/>
      </w:rPr>
      <w:ptab w:relativeTo="margin" w:alignment="center" w:leader="none"/>
    </w:r>
    <w:r>
      <w:rPr>
        <w:noProof/>
      </w:rPr>
      <w:drawing>
        <wp:inline distT="0" distB="0" distL="0" distR="0" wp14:anchorId="2BA2960A" wp14:editId="1762DA19">
          <wp:extent cx="84137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70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262D7F"/>
    <w:multiLevelType w:val="hybridMultilevel"/>
    <w:tmpl w:val="A2425362"/>
    <w:lvl w:ilvl="0" w:tplc="7F22E1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4EE5C42"/>
    <w:multiLevelType w:val="hybridMultilevel"/>
    <w:tmpl w:val="50681F8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49F49DD"/>
    <w:multiLevelType w:val="hybridMultilevel"/>
    <w:tmpl w:val="6178B150"/>
    <w:lvl w:ilvl="0" w:tplc="0809000F">
      <w:start w:val="1"/>
      <w:numFmt w:val="decimal"/>
      <w:lvlText w:val="%1."/>
      <w:lvlJc w:val="left"/>
      <w:pPr>
        <w:ind w:left="720" w:hanging="360"/>
      </w:pPr>
    </w:lvl>
    <w:lvl w:ilvl="1" w:tplc="FBD6D82A">
      <w:start w:val="3"/>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D6747C"/>
    <w:multiLevelType w:val="hybridMultilevel"/>
    <w:tmpl w:val="1AC66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6A57AE2"/>
    <w:multiLevelType w:val="hybridMultilevel"/>
    <w:tmpl w:val="B7E07A16"/>
    <w:lvl w:ilvl="0" w:tplc="06E6EBC8">
      <w:start w:val="19"/>
      <w:numFmt w:val="decimal"/>
      <w:lvlText w:val="%1."/>
      <w:lvlJc w:val="left"/>
      <w:pPr>
        <w:ind w:left="1353" w:hanging="360"/>
      </w:pPr>
      <w:rPr>
        <w:rFonts w:hint="default"/>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1E805D51"/>
    <w:multiLevelType w:val="hybridMultilevel"/>
    <w:tmpl w:val="0366D2EA"/>
    <w:lvl w:ilvl="0" w:tplc="2DE4E2D8">
      <w:start w:val="1"/>
      <w:numFmt w:val="decimal"/>
      <w:lvlText w:val="%1."/>
      <w:lvlJc w:val="left"/>
      <w:pPr>
        <w:ind w:left="1004" w:hanging="720"/>
      </w:pPr>
      <w:rPr>
        <w:rFonts w:eastAsia="Times New Roman" w:hint="default"/>
      </w:rPr>
    </w:lvl>
    <w:lvl w:ilvl="1" w:tplc="08090019">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21">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7B49C2"/>
    <w:multiLevelType w:val="hybridMultilevel"/>
    <w:tmpl w:val="986E2D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1B31282"/>
    <w:multiLevelType w:val="hybridMultilevel"/>
    <w:tmpl w:val="CADCF314"/>
    <w:lvl w:ilvl="0" w:tplc="67580984">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2263A6A"/>
    <w:multiLevelType w:val="multilevel"/>
    <w:tmpl w:val="43D6D2FA"/>
    <w:numStyleLink w:val="StyleBulletedSymbolsymbolLeft063cmHanging063cm"/>
  </w:abstractNum>
  <w:abstractNum w:abstractNumId="26">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6DE0F3D"/>
    <w:multiLevelType w:val="hybridMultilevel"/>
    <w:tmpl w:val="3132A6D8"/>
    <w:lvl w:ilvl="0" w:tplc="25A48C80">
      <w:start w:val="1"/>
      <w:numFmt w:val="upperLetter"/>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BA5FD8"/>
    <w:multiLevelType w:val="multilevel"/>
    <w:tmpl w:val="43D6D2FA"/>
    <w:numStyleLink w:val="StyleBulletedSymbolsymbolLeft063cmHanging063cm"/>
  </w:abstractNum>
  <w:abstractNum w:abstractNumId="36">
    <w:nsid w:val="5AF24D14"/>
    <w:multiLevelType w:val="hybridMultilevel"/>
    <w:tmpl w:val="55227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F7392"/>
    <w:multiLevelType w:val="hybridMultilevel"/>
    <w:tmpl w:val="6FEC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A22831"/>
    <w:multiLevelType w:val="multilevel"/>
    <w:tmpl w:val="43D6D2FA"/>
    <w:numStyleLink w:val="StyleBulletedSymbolsymbolLeft063cmHanging063cm"/>
  </w:abstractNum>
  <w:abstractNum w:abstractNumId="40">
    <w:nsid w:val="669B0A92"/>
    <w:multiLevelType w:val="hybridMultilevel"/>
    <w:tmpl w:val="0366D2EA"/>
    <w:lvl w:ilvl="0" w:tplc="2DE4E2D8">
      <w:start w:val="1"/>
      <w:numFmt w:val="decimal"/>
      <w:lvlText w:val="%1."/>
      <w:lvlJc w:val="left"/>
      <w:pPr>
        <w:ind w:left="720" w:hanging="720"/>
      </w:pPr>
      <w:rPr>
        <w:rFonts w:eastAsia="Times New Roman" w:hint="default"/>
      </w:rPr>
    </w:lvl>
    <w:lvl w:ilvl="1" w:tplc="08090019">
      <w:start w:val="1"/>
      <w:numFmt w:val="lowerLetter"/>
      <w:lvlText w:val="%2."/>
      <w:lvlJc w:val="left"/>
      <w:pPr>
        <w:ind w:left="3295" w:hanging="360"/>
      </w:pPr>
    </w:lvl>
    <w:lvl w:ilvl="2" w:tplc="0809001B" w:tentative="1">
      <w:start w:val="1"/>
      <w:numFmt w:val="lowerRoman"/>
      <w:lvlText w:val="%3."/>
      <w:lvlJc w:val="right"/>
      <w:pPr>
        <w:ind w:left="4015" w:hanging="180"/>
      </w:pPr>
    </w:lvl>
    <w:lvl w:ilvl="3" w:tplc="0809000F" w:tentative="1">
      <w:start w:val="1"/>
      <w:numFmt w:val="decimal"/>
      <w:lvlText w:val="%4."/>
      <w:lvlJc w:val="left"/>
      <w:pPr>
        <w:ind w:left="4735" w:hanging="360"/>
      </w:pPr>
    </w:lvl>
    <w:lvl w:ilvl="4" w:tplc="08090019" w:tentative="1">
      <w:start w:val="1"/>
      <w:numFmt w:val="lowerLetter"/>
      <w:lvlText w:val="%5."/>
      <w:lvlJc w:val="left"/>
      <w:pPr>
        <w:ind w:left="5455" w:hanging="360"/>
      </w:pPr>
    </w:lvl>
    <w:lvl w:ilvl="5" w:tplc="0809001B" w:tentative="1">
      <w:start w:val="1"/>
      <w:numFmt w:val="lowerRoman"/>
      <w:lvlText w:val="%6."/>
      <w:lvlJc w:val="right"/>
      <w:pPr>
        <w:ind w:left="6175" w:hanging="180"/>
      </w:pPr>
    </w:lvl>
    <w:lvl w:ilvl="6" w:tplc="0809000F" w:tentative="1">
      <w:start w:val="1"/>
      <w:numFmt w:val="decimal"/>
      <w:lvlText w:val="%7."/>
      <w:lvlJc w:val="left"/>
      <w:pPr>
        <w:ind w:left="6895" w:hanging="360"/>
      </w:pPr>
    </w:lvl>
    <w:lvl w:ilvl="7" w:tplc="08090019" w:tentative="1">
      <w:start w:val="1"/>
      <w:numFmt w:val="lowerLetter"/>
      <w:lvlText w:val="%8."/>
      <w:lvlJc w:val="left"/>
      <w:pPr>
        <w:ind w:left="7615" w:hanging="360"/>
      </w:pPr>
    </w:lvl>
    <w:lvl w:ilvl="8" w:tplc="0809001B" w:tentative="1">
      <w:start w:val="1"/>
      <w:numFmt w:val="lowerRoman"/>
      <w:lvlText w:val="%9."/>
      <w:lvlJc w:val="right"/>
      <w:pPr>
        <w:ind w:left="8335" w:hanging="180"/>
      </w:pPr>
    </w:lvl>
  </w:abstractNum>
  <w:abstractNum w:abstractNumId="4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055132"/>
    <w:multiLevelType w:val="hybridMultilevel"/>
    <w:tmpl w:val="7C706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98365C6"/>
    <w:multiLevelType w:val="multilevel"/>
    <w:tmpl w:val="E67CE66C"/>
    <w:numStyleLink w:val="StyleNumberedLeft0cmHanging075cm"/>
  </w:abstractNum>
  <w:num w:numId="1">
    <w:abstractNumId w:val="34"/>
  </w:num>
  <w:num w:numId="2">
    <w:abstractNumId w:val="42"/>
  </w:num>
  <w:num w:numId="3">
    <w:abstractNumId w:val="31"/>
  </w:num>
  <w:num w:numId="4">
    <w:abstractNumId w:val="26"/>
  </w:num>
  <w:num w:numId="5">
    <w:abstractNumId w:val="37"/>
  </w:num>
  <w:num w:numId="6">
    <w:abstractNumId w:val="44"/>
  </w:num>
  <w:num w:numId="7">
    <w:abstractNumId w:val="30"/>
  </w:num>
  <w:num w:numId="8">
    <w:abstractNumId w:val="28"/>
  </w:num>
  <w:num w:numId="9">
    <w:abstractNumId w:val="15"/>
  </w:num>
  <w:num w:numId="10">
    <w:abstractNumId w:val="21"/>
  </w:num>
  <w:num w:numId="11">
    <w:abstractNumId w:val="33"/>
  </w:num>
  <w:num w:numId="12">
    <w:abstractNumId w:val="32"/>
  </w:num>
  <w:num w:numId="13">
    <w:abstractNumId w:val="11"/>
  </w:num>
  <w:num w:numId="14">
    <w:abstractNumId w:val="45"/>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23"/>
  </w:num>
  <w:num w:numId="16">
    <w:abstractNumId w:val="12"/>
  </w:num>
  <w:num w:numId="17">
    <w:abstractNumId w:val="35"/>
  </w:num>
  <w:num w:numId="18">
    <w:abstractNumId w:val="13"/>
  </w:num>
  <w:num w:numId="19">
    <w:abstractNumId w:val="39"/>
  </w:num>
  <w:num w:numId="20">
    <w:abstractNumId w:val="25"/>
  </w:num>
  <w:num w:numId="21">
    <w:abstractNumId w:val="29"/>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40"/>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0"/>
  </w:num>
  <w:num w:numId="40">
    <w:abstractNumId w:val="17"/>
  </w:num>
  <w:num w:numId="41">
    <w:abstractNumId w:val="38"/>
  </w:num>
  <w:num w:numId="42">
    <w:abstractNumId w:val="18"/>
  </w:num>
  <w:num w:numId="43">
    <w:abstractNumId w:val="22"/>
  </w:num>
  <w:num w:numId="44">
    <w:abstractNumId w:val="19"/>
  </w:num>
  <w:num w:numId="45">
    <w:abstractNumId w:val="24"/>
  </w:num>
  <w:num w:numId="46">
    <w:abstractNumId w:val="36"/>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69"/>
    <w:rsid w:val="000117D4"/>
    <w:rsid w:val="000141F7"/>
    <w:rsid w:val="000314D7"/>
    <w:rsid w:val="000414A9"/>
    <w:rsid w:val="00042559"/>
    <w:rsid w:val="00045F8B"/>
    <w:rsid w:val="00046D2B"/>
    <w:rsid w:val="000504C7"/>
    <w:rsid w:val="00052D9B"/>
    <w:rsid w:val="000548D9"/>
    <w:rsid w:val="00056263"/>
    <w:rsid w:val="00056347"/>
    <w:rsid w:val="000569A8"/>
    <w:rsid w:val="00064D8A"/>
    <w:rsid w:val="00064F82"/>
    <w:rsid w:val="00066510"/>
    <w:rsid w:val="000736E0"/>
    <w:rsid w:val="0007739A"/>
    <w:rsid w:val="00077523"/>
    <w:rsid w:val="000902EA"/>
    <w:rsid w:val="000923A9"/>
    <w:rsid w:val="00093B1C"/>
    <w:rsid w:val="00094B54"/>
    <w:rsid w:val="00095F09"/>
    <w:rsid w:val="000A251E"/>
    <w:rsid w:val="000A2849"/>
    <w:rsid w:val="000C089F"/>
    <w:rsid w:val="000C3928"/>
    <w:rsid w:val="000C5E8E"/>
    <w:rsid w:val="000D24FA"/>
    <w:rsid w:val="000F4751"/>
    <w:rsid w:val="0010524C"/>
    <w:rsid w:val="00111ACC"/>
    <w:rsid w:val="00111FB1"/>
    <w:rsid w:val="00113418"/>
    <w:rsid w:val="0012108C"/>
    <w:rsid w:val="00132F14"/>
    <w:rsid w:val="001332C6"/>
    <w:rsid w:val="001356F1"/>
    <w:rsid w:val="00136994"/>
    <w:rsid w:val="0014128E"/>
    <w:rsid w:val="001435AC"/>
    <w:rsid w:val="00144B68"/>
    <w:rsid w:val="001460A0"/>
    <w:rsid w:val="00151888"/>
    <w:rsid w:val="001557DF"/>
    <w:rsid w:val="00161C08"/>
    <w:rsid w:val="00166814"/>
    <w:rsid w:val="00167486"/>
    <w:rsid w:val="00170A2D"/>
    <w:rsid w:val="001808BC"/>
    <w:rsid w:val="00181C80"/>
    <w:rsid w:val="00182B81"/>
    <w:rsid w:val="0018619D"/>
    <w:rsid w:val="001A011E"/>
    <w:rsid w:val="001A066A"/>
    <w:rsid w:val="001A13E6"/>
    <w:rsid w:val="001A5731"/>
    <w:rsid w:val="001B42C3"/>
    <w:rsid w:val="001C5D5E"/>
    <w:rsid w:val="001D678D"/>
    <w:rsid w:val="001E03F8"/>
    <w:rsid w:val="001E1678"/>
    <w:rsid w:val="001E3376"/>
    <w:rsid w:val="001F0C16"/>
    <w:rsid w:val="002069B3"/>
    <w:rsid w:val="002329CF"/>
    <w:rsid w:val="00232F5B"/>
    <w:rsid w:val="00236ADE"/>
    <w:rsid w:val="002420D4"/>
    <w:rsid w:val="00246DD4"/>
    <w:rsid w:val="00247C29"/>
    <w:rsid w:val="00251811"/>
    <w:rsid w:val="00260467"/>
    <w:rsid w:val="00263EA3"/>
    <w:rsid w:val="002836A7"/>
    <w:rsid w:val="00284F85"/>
    <w:rsid w:val="00290915"/>
    <w:rsid w:val="0029120F"/>
    <w:rsid w:val="002A22E2"/>
    <w:rsid w:val="002C64F7"/>
    <w:rsid w:val="002D3A28"/>
    <w:rsid w:val="002F40ED"/>
    <w:rsid w:val="002F41F2"/>
    <w:rsid w:val="002F571B"/>
    <w:rsid w:val="00301BF3"/>
    <w:rsid w:val="0030208D"/>
    <w:rsid w:val="00306432"/>
    <w:rsid w:val="00323418"/>
    <w:rsid w:val="003259C4"/>
    <w:rsid w:val="003357BF"/>
    <w:rsid w:val="00343A0C"/>
    <w:rsid w:val="00355572"/>
    <w:rsid w:val="003603AA"/>
    <w:rsid w:val="003610E5"/>
    <w:rsid w:val="00364FAD"/>
    <w:rsid w:val="0036738F"/>
    <w:rsid w:val="0036759C"/>
    <w:rsid w:val="00367AE5"/>
    <w:rsid w:val="00367D71"/>
    <w:rsid w:val="0038150A"/>
    <w:rsid w:val="00384C53"/>
    <w:rsid w:val="003A2D08"/>
    <w:rsid w:val="003B6E75"/>
    <w:rsid w:val="003B7DA1"/>
    <w:rsid w:val="003C4D8A"/>
    <w:rsid w:val="003D0379"/>
    <w:rsid w:val="003D2574"/>
    <w:rsid w:val="003D4C59"/>
    <w:rsid w:val="003E4B5C"/>
    <w:rsid w:val="003F4267"/>
    <w:rsid w:val="00404032"/>
    <w:rsid w:val="0040736F"/>
    <w:rsid w:val="00412C1F"/>
    <w:rsid w:val="00421CB2"/>
    <w:rsid w:val="004235C7"/>
    <w:rsid w:val="00424448"/>
    <w:rsid w:val="00425EDD"/>
    <w:rsid w:val="004268B9"/>
    <w:rsid w:val="00431EF5"/>
    <w:rsid w:val="00433B96"/>
    <w:rsid w:val="0044248E"/>
    <w:rsid w:val="004440F1"/>
    <w:rsid w:val="004456DD"/>
    <w:rsid w:val="00446CDF"/>
    <w:rsid w:val="004521B7"/>
    <w:rsid w:val="0045532D"/>
    <w:rsid w:val="00462AB5"/>
    <w:rsid w:val="00465EAF"/>
    <w:rsid w:val="004738C5"/>
    <w:rsid w:val="00490217"/>
    <w:rsid w:val="00491046"/>
    <w:rsid w:val="004A2AC7"/>
    <w:rsid w:val="004A6D2F"/>
    <w:rsid w:val="004B1694"/>
    <w:rsid w:val="004B40DE"/>
    <w:rsid w:val="004B41A6"/>
    <w:rsid w:val="004B7716"/>
    <w:rsid w:val="004C2887"/>
    <w:rsid w:val="004D2626"/>
    <w:rsid w:val="004D6E26"/>
    <w:rsid w:val="004D7140"/>
    <w:rsid w:val="004D77D3"/>
    <w:rsid w:val="004E2959"/>
    <w:rsid w:val="004F20EF"/>
    <w:rsid w:val="0050321C"/>
    <w:rsid w:val="00507B29"/>
    <w:rsid w:val="0054712D"/>
    <w:rsid w:val="00547EF6"/>
    <w:rsid w:val="005570B5"/>
    <w:rsid w:val="00563660"/>
    <w:rsid w:val="00563D54"/>
    <w:rsid w:val="00567E18"/>
    <w:rsid w:val="00573857"/>
    <w:rsid w:val="00575F5F"/>
    <w:rsid w:val="005811D2"/>
    <w:rsid w:val="00581805"/>
    <w:rsid w:val="00585F76"/>
    <w:rsid w:val="00587B60"/>
    <w:rsid w:val="00592469"/>
    <w:rsid w:val="005929A5"/>
    <w:rsid w:val="005A34E4"/>
    <w:rsid w:val="005B17F2"/>
    <w:rsid w:val="005B7FB0"/>
    <w:rsid w:val="005C35A5"/>
    <w:rsid w:val="005C577C"/>
    <w:rsid w:val="005D0621"/>
    <w:rsid w:val="005D1E27"/>
    <w:rsid w:val="005D271F"/>
    <w:rsid w:val="005D2A3E"/>
    <w:rsid w:val="005E022E"/>
    <w:rsid w:val="005E5215"/>
    <w:rsid w:val="005F01DE"/>
    <w:rsid w:val="005F43E8"/>
    <w:rsid w:val="005F7F7E"/>
    <w:rsid w:val="00614693"/>
    <w:rsid w:val="00623C2F"/>
    <w:rsid w:val="00633578"/>
    <w:rsid w:val="00633A8C"/>
    <w:rsid w:val="00635CB2"/>
    <w:rsid w:val="00637068"/>
    <w:rsid w:val="006421D9"/>
    <w:rsid w:val="00650811"/>
    <w:rsid w:val="00655562"/>
    <w:rsid w:val="006578AB"/>
    <w:rsid w:val="00661D3E"/>
    <w:rsid w:val="0068408D"/>
    <w:rsid w:val="0068455E"/>
    <w:rsid w:val="00687747"/>
    <w:rsid w:val="00692627"/>
    <w:rsid w:val="00694FC7"/>
    <w:rsid w:val="006969E7"/>
    <w:rsid w:val="006A3643"/>
    <w:rsid w:val="006A558D"/>
    <w:rsid w:val="006C2A29"/>
    <w:rsid w:val="006C64CF"/>
    <w:rsid w:val="006D17B1"/>
    <w:rsid w:val="006D4752"/>
    <w:rsid w:val="006D5169"/>
    <w:rsid w:val="006D708A"/>
    <w:rsid w:val="006E14C1"/>
    <w:rsid w:val="006F0292"/>
    <w:rsid w:val="006F27FA"/>
    <w:rsid w:val="006F416B"/>
    <w:rsid w:val="006F519B"/>
    <w:rsid w:val="00712474"/>
    <w:rsid w:val="00713675"/>
    <w:rsid w:val="00715823"/>
    <w:rsid w:val="007379B7"/>
    <w:rsid w:val="00737B93"/>
    <w:rsid w:val="00745BF0"/>
    <w:rsid w:val="007615FE"/>
    <w:rsid w:val="0076655C"/>
    <w:rsid w:val="007742DC"/>
    <w:rsid w:val="00791437"/>
    <w:rsid w:val="007B0C2C"/>
    <w:rsid w:val="007B278E"/>
    <w:rsid w:val="007C364E"/>
    <w:rsid w:val="007C5C23"/>
    <w:rsid w:val="007D6998"/>
    <w:rsid w:val="007E2A26"/>
    <w:rsid w:val="007E381D"/>
    <w:rsid w:val="007F2348"/>
    <w:rsid w:val="008039D9"/>
    <w:rsid w:val="00803F07"/>
    <w:rsid w:val="008051F7"/>
    <w:rsid w:val="0080749A"/>
    <w:rsid w:val="00821496"/>
    <w:rsid w:val="00821A40"/>
    <w:rsid w:val="00821FB8"/>
    <w:rsid w:val="00822ACD"/>
    <w:rsid w:val="00827547"/>
    <w:rsid w:val="0084239D"/>
    <w:rsid w:val="008555A3"/>
    <w:rsid w:val="00855C66"/>
    <w:rsid w:val="00871EE4"/>
    <w:rsid w:val="008B293F"/>
    <w:rsid w:val="008B7371"/>
    <w:rsid w:val="008D3DDB"/>
    <w:rsid w:val="008F573F"/>
    <w:rsid w:val="009034EC"/>
    <w:rsid w:val="0093067A"/>
    <w:rsid w:val="00931E99"/>
    <w:rsid w:val="00941C60"/>
    <w:rsid w:val="00951532"/>
    <w:rsid w:val="00966D42"/>
    <w:rsid w:val="00971689"/>
    <w:rsid w:val="00973E90"/>
    <w:rsid w:val="00975B07"/>
    <w:rsid w:val="00980B4A"/>
    <w:rsid w:val="0099313E"/>
    <w:rsid w:val="009B0713"/>
    <w:rsid w:val="009B15DA"/>
    <w:rsid w:val="009B7899"/>
    <w:rsid w:val="009D5CF5"/>
    <w:rsid w:val="009D7E8B"/>
    <w:rsid w:val="009E3D0A"/>
    <w:rsid w:val="009E51FC"/>
    <w:rsid w:val="009F1D28"/>
    <w:rsid w:val="009F28A2"/>
    <w:rsid w:val="009F7618"/>
    <w:rsid w:val="00A04D23"/>
    <w:rsid w:val="00A06766"/>
    <w:rsid w:val="00A13765"/>
    <w:rsid w:val="00A17C62"/>
    <w:rsid w:val="00A21B12"/>
    <w:rsid w:val="00A22568"/>
    <w:rsid w:val="00A23F80"/>
    <w:rsid w:val="00A46E98"/>
    <w:rsid w:val="00A6352B"/>
    <w:rsid w:val="00A701B5"/>
    <w:rsid w:val="00A712BD"/>
    <w:rsid w:val="00A714BB"/>
    <w:rsid w:val="00A82189"/>
    <w:rsid w:val="00A92D8F"/>
    <w:rsid w:val="00AA5AB7"/>
    <w:rsid w:val="00AB2988"/>
    <w:rsid w:val="00AB7999"/>
    <w:rsid w:val="00AB7B98"/>
    <w:rsid w:val="00AD3292"/>
    <w:rsid w:val="00AE7AF0"/>
    <w:rsid w:val="00B113BB"/>
    <w:rsid w:val="00B12460"/>
    <w:rsid w:val="00B13E13"/>
    <w:rsid w:val="00B24E44"/>
    <w:rsid w:val="00B500CA"/>
    <w:rsid w:val="00B861B0"/>
    <w:rsid w:val="00B86314"/>
    <w:rsid w:val="00BA15E8"/>
    <w:rsid w:val="00BA1C2E"/>
    <w:rsid w:val="00BA72B4"/>
    <w:rsid w:val="00BB24EC"/>
    <w:rsid w:val="00BC200B"/>
    <w:rsid w:val="00BC4756"/>
    <w:rsid w:val="00BC69A4"/>
    <w:rsid w:val="00BC7033"/>
    <w:rsid w:val="00BD1835"/>
    <w:rsid w:val="00BE0680"/>
    <w:rsid w:val="00BE1553"/>
    <w:rsid w:val="00BE305F"/>
    <w:rsid w:val="00BE7BA3"/>
    <w:rsid w:val="00BF5682"/>
    <w:rsid w:val="00BF7B09"/>
    <w:rsid w:val="00C20A95"/>
    <w:rsid w:val="00C25CD0"/>
    <w:rsid w:val="00C2692F"/>
    <w:rsid w:val="00C3207C"/>
    <w:rsid w:val="00C326F5"/>
    <w:rsid w:val="00C33944"/>
    <w:rsid w:val="00C400E1"/>
    <w:rsid w:val="00C41187"/>
    <w:rsid w:val="00C427F8"/>
    <w:rsid w:val="00C42C31"/>
    <w:rsid w:val="00C61915"/>
    <w:rsid w:val="00C63C31"/>
    <w:rsid w:val="00C757A0"/>
    <w:rsid w:val="00C760DE"/>
    <w:rsid w:val="00C82630"/>
    <w:rsid w:val="00C8449D"/>
    <w:rsid w:val="00C85B4E"/>
    <w:rsid w:val="00C907F7"/>
    <w:rsid w:val="00CA2103"/>
    <w:rsid w:val="00CB6B99"/>
    <w:rsid w:val="00CC3B16"/>
    <w:rsid w:val="00CE4C87"/>
    <w:rsid w:val="00CE523C"/>
    <w:rsid w:val="00CE544A"/>
    <w:rsid w:val="00D03D08"/>
    <w:rsid w:val="00D11E1C"/>
    <w:rsid w:val="00D160B0"/>
    <w:rsid w:val="00D17F94"/>
    <w:rsid w:val="00D21D1C"/>
    <w:rsid w:val="00D223FC"/>
    <w:rsid w:val="00D26D1E"/>
    <w:rsid w:val="00D31D0D"/>
    <w:rsid w:val="00D364CD"/>
    <w:rsid w:val="00D40DD4"/>
    <w:rsid w:val="00D44EDC"/>
    <w:rsid w:val="00D474CF"/>
    <w:rsid w:val="00D538E5"/>
    <w:rsid w:val="00D5547E"/>
    <w:rsid w:val="00D64716"/>
    <w:rsid w:val="00D779A4"/>
    <w:rsid w:val="00D869A1"/>
    <w:rsid w:val="00DA413F"/>
    <w:rsid w:val="00DA4584"/>
    <w:rsid w:val="00DA614B"/>
    <w:rsid w:val="00DC3060"/>
    <w:rsid w:val="00DC4728"/>
    <w:rsid w:val="00DC614F"/>
    <w:rsid w:val="00DE0FB2"/>
    <w:rsid w:val="00DF093E"/>
    <w:rsid w:val="00E01F42"/>
    <w:rsid w:val="00E02675"/>
    <w:rsid w:val="00E027EB"/>
    <w:rsid w:val="00E206D6"/>
    <w:rsid w:val="00E31813"/>
    <w:rsid w:val="00E3366E"/>
    <w:rsid w:val="00E52086"/>
    <w:rsid w:val="00E543A6"/>
    <w:rsid w:val="00E60479"/>
    <w:rsid w:val="00E61D73"/>
    <w:rsid w:val="00E73684"/>
    <w:rsid w:val="00E75672"/>
    <w:rsid w:val="00E818D6"/>
    <w:rsid w:val="00E87F7A"/>
    <w:rsid w:val="00E906A3"/>
    <w:rsid w:val="00E90ABC"/>
    <w:rsid w:val="00E96BD7"/>
    <w:rsid w:val="00EA0DB1"/>
    <w:rsid w:val="00EA0EE9"/>
    <w:rsid w:val="00EC5C95"/>
    <w:rsid w:val="00ED52CA"/>
    <w:rsid w:val="00ED5860"/>
    <w:rsid w:val="00EE35C9"/>
    <w:rsid w:val="00EF1F6D"/>
    <w:rsid w:val="00F03780"/>
    <w:rsid w:val="00F05ECA"/>
    <w:rsid w:val="00F06E4C"/>
    <w:rsid w:val="00F3566E"/>
    <w:rsid w:val="00F375FB"/>
    <w:rsid w:val="00F41AC1"/>
    <w:rsid w:val="00F4367A"/>
    <w:rsid w:val="00F445B1"/>
    <w:rsid w:val="00F45CD4"/>
    <w:rsid w:val="00F66DCA"/>
    <w:rsid w:val="00F74F53"/>
    <w:rsid w:val="00F7606D"/>
    <w:rsid w:val="00F77084"/>
    <w:rsid w:val="00F81670"/>
    <w:rsid w:val="00F82024"/>
    <w:rsid w:val="00F95BC9"/>
    <w:rsid w:val="00FA624C"/>
    <w:rsid w:val="00FA64EA"/>
    <w:rsid w:val="00FC0496"/>
    <w:rsid w:val="00FD0FAC"/>
    <w:rsid w:val="00FD1DFA"/>
    <w:rsid w:val="00FD4966"/>
    <w:rsid w:val="00FE57DC"/>
    <w:rsid w:val="00FE5D18"/>
    <w:rsid w:val="00FE7E31"/>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AA5AB7"/>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46DD4"/>
    <w:pPr>
      <w:autoSpaceDE w:val="0"/>
      <w:autoSpaceDN w:val="0"/>
      <w:adjustRightInd w:val="0"/>
    </w:pPr>
    <w:rPr>
      <w:rFonts w:cs="Arial"/>
      <w:color w:val="000000"/>
      <w:sz w:val="24"/>
      <w:szCs w:val="24"/>
    </w:rPr>
  </w:style>
  <w:style w:type="paragraph" w:styleId="BodyTextIndent">
    <w:name w:val="Body Text Indent"/>
    <w:basedOn w:val="Normal"/>
    <w:link w:val="BodyTextIndentChar"/>
    <w:rsid w:val="00F77084"/>
    <w:pPr>
      <w:spacing w:after="0"/>
      <w:ind w:left="720" w:hanging="360"/>
    </w:pPr>
    <w:rPr>
      <w:color w:val="auto"/>
      <w:lang w:eastAsia="en-US"/>
    </w:rPr>
  </w:style>
  <w:style w:type="character" w:customStyle="1" w:styleId="BodyTextIndentChar">
    <w:name w:val="Body Text Indent Char"/>
    <w:basedOn w:val="DefaultParagraphFont"/>
    <w:link w:val="BodyTextIndent"/>
    <w:rsid w:val="00F7708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Subtitle" w:uiPriority="11"/>
    <w:lsdException w:name="Hyperlink"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Strong">
    <w:name w:val="Strong"/>
    <w:uiPriority w:val="22"/>
    <w:qFormat/>
    <w:rsid w:val="00AA5AB7"/>
    <w:rPr>
      <w:b/>
      <w:bC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46DD4"/>
    <w:pPr>
      <w:autoSpaceDE w:val="0"/>
      <w:autoSpaceDN w:val="0"/>
      <w:adjustRightInd w:val="0"/>
    </w:pPr>
    <w:rPr>
      <w:rFonts w:cs="Arial"/>
      <w:color w:val="000000"/>
      <w:sz w:val="24"/>
      <w:szCs w:val="24"/>
    </w:rPr>
  </w:style>
  <w:style w:type="paragraph" w:styleId="BodyTextIndent">
    <w:name w:val="Body Text Indent"/>
    <w:basedOn w:val="Normal"/>
    <w:link w:val="BodyTextIndentChar"/>
    <w:rsid w:val="00F77084"/>
    <w:pPr>
      <w:spacing w:after="0"/>
      <w:ind w:left="720" w:hanging="360"/>
    </w:pPr>
    <w:rPr>
      <w:color w:val="auto"/>
      <w:lang w:eastAsia="en-US"/>
    </w:rPr>
  </w:style>
  <w:style w:type="character" w:customStyle="1" w:styleId="BodyTextIndentChar">
    <w:name w:val="Body Text Indent Char"/>
    <w:basedOn w:val="DefaultParagraphFont"/>
    <w:link w:val="BodyTextIndent"/>
    <w:rsid w:val="00F770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840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AAED-3687-4D5A-96F9-297806BD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33384FAA.dotm</Template>
  <TotalTime>77</TotalTime>
  <Pages>6</Pages>
  <Words>2107</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melanie.mutch</dc:creator>
  <cp:lastModifiedBy>Sarah.Claridge</cp:lastModifiedBy>
  <cp:revision>7</cp:revision>
  <cp:lastPrinted>2016-07-27T12:14:00Z</cp:lastPrinted>
  <dcterms:created xsi:type="dcterms:W3CDTF">2016-08-08T12:59:00Z</dcterms:created>
  <dcterms:modified xsi:type="dcterms:W3CDTF">2016-08-25T09:50:00Z</dcterms:modified>
</cp:coreProperties>
</file>